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0"/>
        <w:rPr>
          <w:sz w:val="24"/>
          <w:lang w:val="en-US"/>
        </w:rPr>
      </w:pPr>
      <w:r>
        <w:rPr>
          <w:sz w:val="24"/>
          <w:lang w:val="en-US"/>
        </w:rPr>
      </w:r>
    </w:p>
    <w:p>
      <w:pPr>
        <w:pStyle w:val="Normal"/>
        <w:numPr>
          <w:ilvl w:val="0"/>
          <w:numId w:val="0"/>
        </w:numPr>
        <w:jc w:val="center"/>
        <w:outlineLvl w:val="0"/>
        <w:rPr>
          <w:sz w:val="24"/>
          <w:lang w:val="en-US"/>
        </w:rPr>
      </w:pPr>
      <w:r>
        <w:rPr>
          <w:sz w:val="24"/>
          <w:lang w:val="en-US"/>
        </w:rPr>
      </w:r>
    </w:p>
    <w:p>
      <w:pPr>
        <w:pStyle w:val="Normal"/>
        <w:numPr>
          <w:ilvl w:val="0"/>
          <w:numId w:val="0"/>
        </w:numPr>
        <w:jc w:val="center"/>
        <w:outlineLvl w:val="0"/>
        <w:rPr>
          <w:sz w:val="24"/>
          <w:lang w:val="en-US"/>
        </w:rPr>
      </w:pPr>
      <w:r>
        <w:rPr>
          <w:sz w:val="24"/>
          <w:lang w:val="en-US"/>
        </w:rPr>
        <w:t>ENGINEERING, PROCUREMENT, &amp; CONSTRUCTION CONTRACT</w:t>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t>by and between</w:t>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numPr>
          <w:ilvl w:val="0"/>
          <w:numId w:val="0"/>
        </w:numPr>
        <w:jc w:val="center"/>
        <w:outlineLvl w:val="0"/>
        <w:rPr>
          <w:sz w:val="24"/>
          <w:lang w:val="en-US"/>
        </w:rPr>
      </w:pPr>
      <w:r>
        <w:rPr>
          <w:sz w:val="24"/>
          <w:lang w:val="en-US"/>
        </w:rPr>
        <w:t>Enron Energia Industrial de Mexico, S. de R.L. de C.V.</w:t>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t>as Owner</w:t>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t>and</w:t>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numPr>
          <w:ilvl w:val="0"/>
          <w:numId w:val="0"/>
        </w:numPr>
        <w:jc w:val="center"/>
        <w:outlineLvl w:val="0"/>
        <w:rPr>
          <w:sz w:val="24"/>
          <w:lang w:val="en-US"/>
        </w:rPr>
      </w:pPr>
      <w:r>
        <w:rPr>
          <w:sz w:val="24"/>
          <w:lang w:val="en-US"/>
        </w:rPr>
        <w:t>Mitsui &amp; Co., Ltd.</w:t>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t>as Contractor</w:t>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numPr>
          <w:ilvl w:val="0"/>
          <w:numId w:val="0"/>
        </w:numPr>
        <w:jc w:val="center"/>
        <w:outlineLvl w:val="0"/>
        <w:rPr>
          <w:sz w:val="24"/>
          <w:lang w:val="en-US"/>
        </w:rPr>
      </w:pPr>
      <w:r>
        <w:rPr>
          <w:sz w:val="24"/>
          <w:lang w:val="en-US"/>
        </w:rPr>
        <w:t>Dated as of May 15, 2000</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both"/>
        <w:rPr>
          <w:sz w:val="24"/>
          <w:lang w:val="en-US"/>
        </w:rPr>
      </w:pPr>
      <w:r>
        <w:rPr>
          <w:sz w:val="24"/>
          <w:lang w:val="en-US"/>
        </w:rPr>
      </w:r>
    </w:p>
    <w:p>
      <w:pPr>
        <w:pStyle w:val="Normal"/>
        <w:numPr>
          <w:ilvl w:val="0"/>
          <w:numId w:val="0"/>
        </w:numPr>
        <w:ind w:start="2880" w:end="0"/>
        <w:jc w:val="both"/>
        <w:outlineLvl w:val="0"/>
        <w:rPr>
          <w:b/>
          <w:sz w:val="24"/>
          <w:lang w:val="en-US"/>
        </w:rPr>
      </w:pPr>
      <w:r>
        <w:rPr>
          <w:b/>
          <w:sz w:val="24"/>
          <w:lang w:val="en-US"/>
        </w:rPr>
      </w:r>
    </w:p>
    <w:p>
      <w:pPr>
        <w:pStyle w:val="Normal"/>
        <w:numPr>
          <w:ilvl w:val="0"/>
          <w:numId w:val="0"/>
        </w:numPr>
        <w:ind w:start="2880" w:end="0"/>
        <w:jc w:val="end"/>
        <w:outlineLvl w:val="0"/>
        <w:rPr>
          <w:b/>
          <w:sz w:val="24"/>
          <w:u w:val="single"/>
          <w:lang w:val="en-US"/>
        </w:rPr>
      </w:pPr>
      <w:r>
        <w:rPr>
          <w:b/>
          <w:sz w:val="24"/>
          <w:u w:val="single"/>
          <w:lang w:val="en-US"/>
        </w:rPr>
        <w:t>Page</w:t>
      </w:r>
    </w:p>
    <w:p>
      <w:pPr>
        <w:pStyle w:val="Normal"/>
        <w:jc w:val="both"/>
        <w:rPr>
          <w:rFonts w:ascii="Arial" w:hAnsi="Arial" w:cs="Arial"/>
          <w:b/>
          <w:sz w:val="24"/>
          <w:u w:val="single"/>
          <w:lang w:val="en-US"/>
        </w:rPr>
      </w:pPr>
      <w:r>
        <w:rPr>
          <w:rFonts w:cs="Arial" w:ascii="Arial" w:hAnsi="Arial"/>
          <w:b/>
          <w:sz w:val="24"/>
          <w:u w:val="single"/>
          <w:lang w:val="en-US"/>
        </w:rPr>
      </w:r>
    </w:p>
    <w:sdt>
      <w:sdtPr>
        <w:docPartObj>
          <w:docPartGallery w:val="Table of Contents"/>
          <w:docPartUnique w:val="true"/>
        </w:docPartObj>
      </w:sdtPr>
      <w:sdtContent>
        <w:p>
          <w:pPr>
            <w:pStyle w:val="TOC1"/>
            <w:ind w:hanging="630" w:start="630" w:end="0"/>
            <w:rPr>
              <w:rFonts w:ascii="Arial" w:hAnsi="Arial" w:cs="Arial"/>
            </w:rPr>
          </w:pPr>
          <w:r>
            <w:fldChar w:fldCharType="begin"/>
          </w:r>
          <w:r>
            <w:rPr>
              <w:rFonts w:cs="Arial"/>
            </w:rPr>
            <w:instrText xml:space="preserve"> TOC \f </w:instrText>
          </w:r>
          <w:r>
            <w:rPr>
              <w:rFonts w:cs="Arial"/>
            </w:rPr>
            <w:fldChar w:fldCharType="separate"/>
          </w:r>
          <w:r>
            <w:rPr>
              <w:rFonts w:cs="Arial"/>
            </w:rPr>
            <w:t>ARTICLE 1:  INTERPRETATION</w:t>
            <w:tab/>
          </w:r>
          <w:hyperlink w:anchor="__RefHeading___Toc482936793">
            <w:r>
              <w:rPr>
                <w:rStyle w:val="IndexLink"/>
                <w:rFonts w:cs="Arial"/>
              </w:rPr>
              <w:t>1</w:t>
            </w:r>
          </w:hyperlink>
        </w:p>
        <w:p>
          <w:pPr>
            <w:pStyle w:val="TOC2"/>
            <w:tabs>
              <w:tab w:val="clear" w:pos="720"/>
              <w:tab w:val="left" w:pos="800" w:leader="none"/>
              <w:tab w:val="right" w:pos="9350" w:leader="dot"/>
            </w:tabs>
            <w:rPr/>
          </w:pPr>
          <w:r>
            <w:rPr/>
            <w:t>1.1</w:t>
            <w:tab/>
            <w:t>Defintions</w:t>
            <w:tab/>
          </w:r>
          <w:hyperlink w:anchor="__RefHeading___Toc482936794">
            <w:r>
              <w:rPr>
                <w:rStyle w:val="IndexLink"/>
              </w:rPr>
              <w:t>1</w:t>
            </w:r>
          </w:hyperlink>
        </w:p>
        <w:p>
          <w:pPr>
            <w:pStyle w:val="TOC2"/>
            <w:tabs>
              <w:tab w:val="clear" w:pos="720"/>
              <w:tab w:val="left" w:pos="800" w:leader="none"/>
              <w:tab w:val="right" w:pos="9350" w:leader="dot"/>
            </w:tabs>
            <w:rPr/>
          </w:pPr>
          <w:r>
            <w:rPr/>
            <w:t>1.2</w:t>
            <w:tab/>
            <w:t>Rules of Interpretation</w:t>
            <w:tab/>
          </w:r>
          <w:hyperlink w:anchor="__RefHeading___Toc482936795">
            <w:r>
              <w:rPr>
                <w:rStyle w:val="IndexLink"/>
              </w:rPr>
              <w:t>11</w:t>
            </w:r>
          </w:hyperlink>
        </w:p>
        <w:p>
          <w:pPr>
            <w:pStyle w:val="TOC1"/>
            <w:rPr/>
          </w:pPr>
          <w:r>
            <w:rPr/>
            <w:t>ARTICLE 2: RELATIONSHIP OF OWNER, CONTRACTOR, SUBCONTRACTORS AND OTHERS</w:t>
            <w:tab/>
          </w:r>
          <w:hyperlink w:anchor="__RefHeading___Toc482936796">
            <w:r>
              <w:rPr>
                <w:rStyle w:val="IndexLink"/>
              </w:rPr>
              <w:t>12</w:t>
            </w:r>
          </w:hyperlink>
        </w:p>
        <w:p>
          <w:pPr>
            <w:pStyle w:val="TOC2"/>
            <w:tabs>
              <w:tab w:val="clear" w:pos="720"/>
              <w:tab w:val="left" w:pos="800" w:leader="none"/>
              <w:tab w:val="right" w:pos="9350" w:leader="dot"/>
            </w:tabs>
            <w:rPr/>
          </w:pPr>
          <w:r>
            <w:rPr/>
            <w:t>2.1</w:t>
            <w:tab/>
            <w:t>Status of Contractor</w:t>
            <w:tab/>
          </w:r>
          <w:hyperlink w:anchor="__RefHeading___Toc482936797">
            <w:r>
              <w:rPr>
                <w:rStyle w:val="IndexLink"/>
              </w:rPr>
              <w:t>12</w:t>
            </w:r>
          </w:hyperlink>
        </w:p>
        <w:p>
          <w:pPr>
            <w:pStyle w:val="TOC2"/>
            <w:tabs>
              <w:tab w:val="clear" w:pos="720"/>
              <w:tab w:val="left" w:pos="800" w:leader="none"/>
              <w:tab w:val="right" w:pos="9350" w:leader="dot"/>
            </w:tabs>
            <w:rPr/>
          </w:pPr>
          <w:r>
            <w:rPr/>
            <w:t>2.2</w:t>
            <w:tab/>
            <w:t>Subcontractors</w:t>
            <w:tab/>
          </w:r>
          <w:hyperlink w:anchor="__RefHeading___Toc482936798">
            <w:r>
              <w:rPr>
                <w:rStyle w:val="IndexLink"/>
              </w:rPr>
              <w:t>12</w:t>
            </w:r>
          </w:hyperlink>
        </w:p>
        <w:p>
          <w:pPr>
            <w:pStyle w:val="TOC2"/>
            <w:tabs>
              <w:tab w:val="clear" w:pos="720"/>
              <w:tab w:val="left" w:pos="800" w:leader="none"/>
              <w:tab w:val="right" w:pos="9350" w:leader="dot"/>
            </w:tabs>
            <w:rPr/>
          </w:pPr>
          <w:r>
            <w:rPr/>
            <w:t>2.3</w:t>
            <w:tab/>
            <w:t>Subcontract Provisions</w:t>
            <w:tab/>
          </w:r>
          <w:hyperlink w:anchor="__RefHeading___Toc482936799">
            <w:r>
              <w:rPr>
                <w:rStyle w:val="IndexLink"/>
              </w:rPr>
              <w:t>12</w:t>
            </w:r>
          </w:hyperlink>
        </w:p>
        <w:p>
          <w:pPr>
            <w:pStyle w:val="TOC2"/>
            <w:tabs>
              <w:tab w:val="clear" w:pos="720"/>
              <w:tab w:val="left" w:pos="800" w:leader="none"/>
              <w:tab w:val="right" w:pos="9350" w:leader="dot"/>
            </w:tabs>
            <w:rPr/>
          </w:pPr>
          <w:r>
            <w:rPr/>
            <w:t>2.4</w:t>
            <w:tab/>
            <w:t>Key Subcontracts</w:t>
            <w:tab/>
          </w:r>
          <w:hyperlink w:anchor="__RefHeading___Toc482936800">
            <w:r>
              <w:rPr>
                <w:rStyle w:val="IndexLink"/>
              </w:rPr>
              <w:t>12</w:t>
            </w:r>
          </w:hyperlink>
        </w:p>
        <w:p>
          <w:pPr>
            <w:pStyle w:val="TOC1"/>
            <w:rPr/>
          </w:pPr>
          <w:r>
            <w:rPr/>
            <w:t>ARTICLE 3:  CONTRACTOR’S RESPONSIBILITIES</w:t>
            <w:tab/>
          </w:r>
          <w:hyperlink w:anchor="__RefHeading___Toc482936801">
            <w:r>
              <w:rPr>
                <w:rStyle w:val="IndexLink"/>
              </w:rPr>
              <w:t>13</w:t>
            </w:r>
          </w:hyperlink>
        </w:p>
        <w:p>
          <w:pPr>
            <w:pStyle w:val="TOC2"/>
            <w:tabs>
              <w:tab w:val="clear" w:pos="720"/>
              <w:tab w:val="left" w:pos="800" w:leader="none"/>
              <w:tab w:val="right" w:pos="9350" w:leader="dot"/>
            </w:tabs>
            <w:rPr/>
          </w:pPr>
          <w:r>
            <w:rPr/>
            <w:t>3.1</w:t>
            <w:tab/>
            <w:t>Scope of Work</w:t>
            <w:tab/>
          </w:r>
          <w:hyperlink w:anchor="__RefHeading___Toc482936802">
            <w:r>
              <w:rPr>
                <w:rStyle w:val="IndexLink"/>
              </w:rPr>
              <w:t>13</w:t>
            </w:r>
          </w:hyperlink>
        </w:p>
        <w:p>
          <w:pPr>
            <w:pStyle w:val="TOC2"/>
            <w:tabs>
              <w:tab w:val="clear" w:pos="720"/>
              <w:tab w:val="left" w:pos="800" w:leader="none"/>
              <w:tab w:val="right" w:pos="9350" w:leader="dot"/>
            </w:tabs>
            <w:rPr/>
          </w:pPr>
          <w:r>
            <w:rPr/>
            <w:t>3.2</w:t>
            <w:tab/>
            <w:t>Spare Parts</w:t>
            <w:tab/>
          </w:r>
          <w:hyperlink w:anchor="__RefHeading___Toc482936803">
            <w:r>
              <w:rPr>
                <w:rStyle w:val="IndexLink"/>
              </w:rPr>
              <w:t>14</w:t>
            </w:r>
          </w:hyperlink>
        </w:p>
        <w:p>
          <w:pPr>
            <w:pStyle w:val="TOC2"/>
            <w:tabs>
              <w:tab w:val="clear" w:pos="720"/>
              <w:tab w:val="left" w:pos="800" w:leader="none"/>
              <w:tab w:val="right" w:pos="9350" w:leader="dot"/>
            </w:tabs>
            <w:rPr/>
          </w:pPr>
          <w:r>
            <w:rPr/>
            <w:t>3.3</w:t>
            <w:tab/>
            <w:t>Compliance with Drawings and Review of Drawings and Documents</w:t>
            <w:tab/>
          </w:r>
          <w:hyperlink w:anchor="__RefHeading___Toc482936804">
            <w:r>
              <w:rPr>
                <w:rStyle w:val="IndexLink"/>
              </w:rPr>
              <w:t>14</w:t>
            </w:r>
          </w:hyperlink>
        </w:p>
        <w:p>
          <w:pPr>
            <w:pStyle w:val="TOC2"/>
            <w:tabs>
              <w:tab w:val="clear" w:pos="720"/>
              <w:tab w:val="left" w:pos="800" w:leader="none"/>
              <w:tab w:val="right" w:pos="9350" w:leader="dot"/>
            </w:tabs>
            <w:rPr/>
          </w:pPr>
          <w:r>
            <w:rPr/>
            <w:t>3.4</w:t>
            <w:tab/>
            <w:t>Contractor’s Personnel and Labor Relations</w:t>
            <w:tab/>
          </w:r>
          <w:hyperlink w:anchor="__RefHeading___Toc482936805">
            <w:r>
              <w:rPr>
                <w:rStyle w:val="IndexLink"/>
              </w:rPr>
              <w:t>15</w:t>
            </w:r>
          </w:hyperlink>
        </w:p>
        <w:p>
          <w:pPr>
            <w:pStyle w:val="TOC2"/>
            <w:tabs>
              <w:tab w:val="clear" w:pos="720"/>
              <w:tab w:val="left" w:pos="800" w:leader="none"/>
              <w:tab w:val="right" w:pos="9350" w:leader="dot"/>
            </w:tabs>
            <w:rPr/>
          </w:pPr>
          <w:r>
            <w:rPr/>
            <w:t>3.5</w:t>
            <w:tab/>
            <w:t>Governmental Authorization and Contractor Assistance</w:t>
            <w:tab/>
          </w:r>
          <w:hyperlink w:anchor="__RefHeading___Toc482936806">
            <w:r>
              <w:rPr>
                <w:rStyle w:val="IndexLink"/>
              </w:rPr>
              <w:t>16</w:t>
            </w:r>
          </w:hyperlink>
        </w:p>
        <w:p>
          <w:pPr>
            <w:pStyle w:val="TOC2"/>
            <w:tabs>
              <w:tab w:val="clear" w:pos="720"/>
              <w:tab w:val="left" w:pos="800" w:leader="none"/>
              <w:tab w:val="right" w:pos="9350" w:leader="dot"/>
            </w:tabs>
            <w:rPr/>
          </w:pPr>
          <w:r>
            <w:rPr/>
            <w:t>3.6</w:t>
            <w:tab/>
            <w:t>Control of the Work</w:t>
            <w:tab/>
          </w:r>
          <w:hyperlink w:anchor="__RefHeading___Toc482936807">
            <w:r>
              <w:rPr>
                <w:rStyle w:val="IndexLink"/>
              </w:rPr>
              <w:t>17</w:t>
            </w:r>
          </w:hyperlink>
        </w:p>
        <w:p>
          <w:pPr>
            <w:pStyle w:val="TOC2"/>
            <w:tabs>
              <w:tab w:val="clear" w:pos="720"/>
              <w:tab w:val="left" w:pos="800" w:leader="none"/>
              <w:tab w:val="right" w:pos="9350" w:leader="dot"/>
            </w:tabs>
            <w:rPr/>
          </w:pPr>
          <w:r>
            <w:rPr/>
            <w:t>3.7</w:t>
            <w:tab/>
            <w:t>Cleanup; Non-Interference</w:t>
            <w:tab/>
          </w:r>
          <w:hyperlink w:anchor="__RefHeading___Toc482936808">
            <w:r>
              <w:rPr>
                <w:rStyle w:val="IndexLink"/>
              </w:rPr>
              <w:t>17</w:t>
            </w:r>
          </w:hyperlink>
        </w:p>
        <w:p>
          <w:pPr>
            <w:pStyle w:val="TOC2"/>
            <w:tabs>
              <w:tab w:val="clear" w:pos="720"/>
              <w:tab w:val="left" w:pos="800" w:leader="none"/>
              <w:tab w:val="right" w:pos="9350" w:leader="dot"/>
            </w:tabs>
            <w:rPr/>
          </w:pPr>
          <w:r>
            <w:rPr/>
            <w:t>3.8</w:t>
            <w:tab/>
            <w:t>Safety and Emergencies</w:t>
            <w:tab/>
          </w:r>
          <w:hyperlink w:anchor="__RefHeading___Toc482936809">
            <w:r>
              <w:rPr>
                <w:rStyle w:val="IndexLink"/>
              </w:rPr>
              <w:t>17</w:t>
            </w:r>
          </w:hyperlink>
        </w:p>
        <w:p>
          <w:pPr>
            <w:pStyle w:val="TOC2"/>
            <w:tabs>
              <w:tab w:val="clear" w:pos="720"/>
              <w:tab w:val="left" w:pos="800" w:leader="none"/>
              <w:tab w:val="right" w:pos="9350" w:leader="dot"/>
            </w:tabs>
            <w:rPr/>
          </w:pPr>
          <w:r>
            <w:rPr/>
            <w:t>3.9</w:t>
            <w:tab/>
            <w:t>Financing Assistance</w:t>
            <w:tab/>
          </w:r>
          <w:hyperlink w:anchor="__RefHeading___Toc482936810">
            <w:r>
              <w:rPr>
                <w:rStyle w:val="IndexLink"/>
              </w:rPr>
              <w:t>17</w:t>
            </w:r>
          </w:hyperlink>
        </w:p>
        <w:p>
          <w:pPr>
            <w:pStyle w:val="TOC2"/>
            <w:tabs>
              <w:tab w:val="clear" w:pos="720"/>
              <w:tab w:val="left" w:pos="800" w:leader="none"/>
              <w:tab w:val="right" w:pos="9350" w:leader="dot"/>
            </w:tabs>
            <w:rPr/>
          </w:pPr>
          <w:r>
            <w:rPr/>
            <w:t>3.10</w:t>
            <w:tab/>
            <w:t>Foreign Corrupt Practices Act</w:t>
            <w:tab/>
          </w:r>
          <w:hyperlink w:anchor="__RefHeading___Toc482936811">
            <w:r>
              <w:rPr>
                <w:rStyle w:val="IndexLink"/>
              </w:rPr>
              <w:t>18</w:t>
            </w:r>
          </w:hyperlink>
        </w:p>
        <w:p>
          <w:pPr>
            <w:pStyle w:val="TOC2"/>
            <w:tabs>
              <w:tab w:val="clear" w:pos="720"/>
              <w:tab w:val="left" w:pos="800" w:leader="none"/>
              <w:tab w:val="right" w:pos="9350" w:leader="dot"/>
            </w:tabs>
            <w:rPr/>
          </w:pPr>
          <w:r>
            <w:rPr/>
            <w:t>3.11</w:t>
            <w:tab/>
            <w:t>Compliance with Laws</w:t>
            <w:tab/>
          </w:r>
          <w:hyperlink w:anchor="__RefHeading___Toc482936812">
            <w:r>
              <w:rPr>
                <w:rStyle w:val="IndexLink"/>
              </w:rPr>
              <w:t>18</w:t>
            </w:r>
          </w:hyperlink>
        </w:p>
        <w:p>
          <w:pPr>
            <w:pStyle w:val="TOC2"/>
            <w:tabs>
              <w:tab w:val="clear" w:pos="720"/>
              <w:tab w:val="left" w:pos="800" w:leader="none"/>
              <w:tab w:val="right" w:pos="9350" w:leader="dot"/>
            </w:tabs>
            <w:rPr/>
          </w:pPr>
          <w:r>
            <w:rPr/>
            <w:t>3.12</w:t>
            <w:tab/>
            <w:t>Books and Records</w:t>
            <w:tab/>
          </w:r>
          <w:hyperlink w:anchor="__RefHeading___Toc482936813">
            <w:r>
              <w:rPr>
                <w:rStyle w:val="IndexLink"/>
              </w:rPr>
              <w:t>19</w:t>
            </w:r>
          </w:hyperlink>
        </w:p>
        <w:p>
          <w:pPr>
            <w:pStyle w:val="TOC2"/>
            <w:tabs>
              <w:tab w:val="clear" w:pos="720"/>
              <w:tab w:val="left" w:pos="800" w:leader="none"/>
              <w:tab w:val="right" w:pos="9350" w:leader="dot"/>
            </w:tabs>
            <w:rPr/>
          </w:pPr>
          <w:r>
            <w:rPr/>
            <w:t>3.13</w:t>
            <w:tab/>
            <w:t>Taxes and Fees</w:t>
            <w:tab/>
          </w:r>
          <w:hyperlink w:anchor="__RefHeading___Toc482936814">
            <w:r>
              <w:rPr>
                <w:rStyle w:val="IndexLink"/>
              </w:rPr>
              <w:t>19</w:t>
            </w:r>
          </w:hyperlink>
        </w:p>
        <w:p>
          <w:pPr>
            <w:pStyle w:val="TOC2"/>
            <w:tabs>
              <w:tab w:val="clear" w:pos="720"/>
              <w:tab w:val="left" w:pos="800" w:leader="none"/>
              <w:tab w:val="right" w:pos="9350" w:leader="dot"/>
            </w:tabs>
            <w:rPr/>
          </w:pPr>
          <w:r>
            <w:rPr/>
            <w:t>3.14</w:t>
            <w:tab/>
            <w:t>Access and Inspections, Correction of Defects</w:t>
            <w:tab/>
          </w:r>
          <w:hyperlink w:anchor="__RefHeading___Toc482936815">
            <w:r>
              <w:rPr>
                <w:rStyle w:val="IndexLink"/>
              </w:rPr>
              <w:t>19</w:t>
            </w:r>
          </w:hyperlink>
        </w:p>
        <w:p>
          <w:pPr>
            <w:pStyle w:val="TOC2"/>
            <w:tabs>
              <w:tab w:val="clear" w:pos="720"/>
              <w:tab w:val="left" w:pos="800" w:leader="none"/>
              <w:tab w:val="right" w:pos="9350" w:leader="dot"/>
            </w:tabs>
            <w:rPr/>
          </w:pPr>
          <w:r>
            <w:rPr/>
            <w:t>3.15</w:t>
            <w:tab/>
            <w:t>Security of  the Site; Storage</w:t>
          </w:r>
          <w:r>
            <w:rPr>
              <w:u w:val="single"/>
            </w:rPr>
            <w:t xml:space="preserve"> </w:t>
          </w:r>
          <w:r>
            <w:rPr/>
            <w:t>and Related Matters</w:t>
            <w:tab/>
          </w:r>
          <w:hyperlink w:anchor="__RefHeading___Toc482936816">
            <w:r>
              <w:rPr>
                <w:rStyle w:val="IndexLink"/>
              </w:rPr>
              <w:t>20</w:t>
            </w:r>
          </w:hyperlink>
        </w:p>
        <w:p>
          <w:pPr>
            <w:pStyle w:val="TOC2"/>
            <w:tabs>
              <w:tab w:val="clear" w:pos="720"/>
              <w:tab w:val="left" w:pos="800" w:leader="none"/>
              <w:tab w:val="right" w:pos="9350" w:leader="dot"/>
            </w:tabs>
            <w:rPr/>
          </w:pPr>
          <w:r>
            <w:rPr/>
            <w:t>3.16</w:t>
            <w:tab/>
            <w:t>Cooperation and Non-interference</w:t>
            <w:tab/>
          </w:r>
          <w:hyperlink w:anchor="__RefHeading___Toc482936817">
            <w:r>
              <w:rPr>
                <w:rStyle w:val="IndexLink"/>
              </w:rPr>
              <w:t>21</w:t>
            </w:r>
          </w:hyperlink>
        </w:p>
        <w:p>
          <w:pPr>
            <w:pStyle w:val="TOC2"/>
            <w:tabs>
              <w:tab w:val="clear" w:pos="720"/>
              <w:tab w:val="left" w:pos="800" w:leader="none"/>
              <w:tab w:val="right" w:pos="9350" w:leader="dot"/>
            </w:tabs>
            <w:rPr/>
          </w:pPr>
          <w:r>
            <w:rPr/>
            <w:t>3.17</w:t>
            <w:tab/>
            <w:t>No Liens</w:t>
            <w:tab/>
          </w:r>
          <w:hyperlink w:anchor="__RefHeading___Toc482936818">
            <w:r>
              <w:rPr>
                <w:rStyle w:val="IndexLink"/>
              </w:rPr>
              <w:t>21</w:t>
            </w:r>
          </w:hyperlink>
        </w:p>
        <w:p>
          <w:pPr>
            <w:pStyle w:val="TOC2"/>
            <w:tabs>
              <w:tab w:val="clear" w:pos="720"/>
              <w:tab w:val="left" w:pos="800" w:leader="none"/>
              <w:tab w:val="right" w:pos="9350" w:leader="dot"/>
            </w:tabs>
            <w:rPr/>
          </w:pPr>
          <w:r>
            <w:rPr/>
            <w:t>3.18</w:t>
            <w:tab/>
            <w:t>Hazardous Substances, Archaeological Discoveries and Ground Risk</w:t>
            <w:tab/>
          </w:r>
          <w:hyperlink w:anchor="__RefHeading___Toc482936819">
            <w:r>
              <w:rPr>
                <w:rStyle w:val="IndexLink"/>
              </w:rPr>
              <w:t>21</w:t>
            </w:r>
          </w:hyperlink>
        </w:p>
        <w:p>
          <w:pPr>
            <w:pStyle w:val="TOC2"/>
            <w:tabs>
              <w:tab w:val="clear" w:pos="720"/>
              <w:tab w:val="left" w:pos="800" w:leader="none"/>
              <w:tab w:val="right" w:pos="9350" w:leader="dot"/>
            </w:tabs>
            <w:rPr/>
          </w:pPr>
          <w:r>
            <w:rPr/>
            <w:t>3.19</w:t>
            <w:tab/>
            <w:t>Contractor’s Representative</w:t>
            <w:tab/>
          </w:r>
          <w:hyperlink w:anchor="__RefHeading___Toc482936820">
            <w:r>
              <w:rPr>
                <w:rStyle w:val="IndexLink"/>
              </w:rPr>
              <w:t>22</w:t>
            </w:r>
          </w:hyperlink>
        </w:p>
        <w:p>
          <w:pPr>
            <w:pStyle w:val="TOC2"/>
            <w:tabs>
              <w:tab w:val="clear" w:pos="720"/>
              <w:tab w:val="left" w:pos="800" w:leader="none"/>
              <w:tab w:val="right" w:pos="9350" w:leader="dot"/>
            </w:tabs>
            <w:rPr/>
          </w:pPr>
          <w:r>
            <w:rPr/>
            <w:t>3.20</w:t>
            <w:tab/>
            <w:t>CFE Facilities and PGPB Facilities</w:t>
            <w:tab/>
          </w:r>
          <w:hyperlink w:anchor="__RefHeading___Toc482936821">
            <w:r>
              <w:rPr>
                <w:rStyle w:val="IndexLink"/>
              </w:rPr>
              <w:t>23</w:t>
            </w:r>
          </w:hyperlink>
        </w:p>
        <w:p>
          <w:pPr>
            <w:pStyle w:val="TOC1"/>
            <w:rPr/>
          </w:pPr>
          <w:r>
            <w:rPr/>
            <w:t>ARTICLE 4:  OWNER’S RESPONSIBILITIES</w:t>
            <w:tab/>
          </w:r>
          <w:hyperlink w:anchor="__RefHeading___Toc482936822">
            <w:r>
              <w:rPr>
                <w:rStyle w:val="IndexLink"/>
              </w:rPr>
              <w:t>23</w:t>
            </w:r>
          </w:hyperlink>
        </w:p>
        <w:p>
          <w:pPr>
            <w:pStyle w:val="TOC2"/>
            <w:tabs>
              <w:tab w:val="clear" w:pos="720"/>
              <w:tab w:val="left" w:pos="800" w:leader="none"/>
              <w:tab w:val="right" w:pos="9350" w:leader="dot"/>
            </w:tabs>
            <w:rPr/>
          </w:pPr>
          <w:r>
            <w:rPr/>
            <w:t>4.1</w:t>
            <w:tab/>
            <w:t>Owner Assistance to Contractor</w:t>
            <w:tab/>
          </w:r>
          <w:hyperlink w:anchor="__RefHeading___Toc482936823">
            <w:r>
              <w:rPr>
                <w:rStyle w:val="IndexLink"/>
              </w:rPr>
              <w:t>23</w:t>
            </w:r>
          </w:hyperlink>
        </w:p>
        <w:p>
          <w:pPr>
            <w:pStyle w:val="TOC2"/>
            <w:tabs>
              <w:tab w:val="clear" w:pos="720"/>
              <w:tab w:val="left" w:pos="800" w:leader="none"/>
              <w:tab w:val="right" w:pos="9350" w:leader="dot"/>
            </w:tabs>
            <w:rPr/>
          </w:pPr>
          <w:r>
            <w:rPr/>
            <w:t>4.2</w:t>
            <w:tab/>
            <w:t>Owner’s Scope of Work including Consumables, Utilities, and Interconnections</w:t>
            <w:tab/>
          </w:r>
          <w:hyperlink w:anchor="__RefHeading___Toc482936824">
            <w:r>
              <w:rPr>
                <w:rStyle w:val="IndexLink"/>
              </w:rPr>
              <w:t>24</w:t>
            </w:r>
          </w:hyperlink>
        </w:p>
        <w:p>
          <w:pPr>
            <w:pStyle w:val="TOC2"/>
            <w:tabs>
              <w:tab w:val="clear" w:pos="720"/>
              <w:tab w:val="left" w:pos="800" w:leader="none"/>
              <w:tab w:val="right" w:pos="9350" w:leader="dot"/>
            </w:tabs>
            <w:rPr/>
          </w:pPr>
          <w:r>
            <w:rPr/>
            <w:t>4.3</w:t>
            <w:tab/>
            <w:t>Payment</w:t>
            <w:tab/>
          </w:r>
          <w:hyperlink w:anchor="__RefHeading___Toc482936825">
            <w:r>
              <w:rPr>
                <w:rStyle w:val="IndexLink"/>
              </w:rPr>
              <w:t>24</w:t>
            </w:r>
          </w:hyperlink>
        </w:p>
        <w:p>
          <w:pPr>
            <w:pStyle w:val="TOC2"/>
            <w:tabs>
              <w:tab w:val="clear" w:pos="720"/>
              <w:tab w:val="left" w:pos="800" w:leader="none"/>
              <w:tab w:val="right" w:pos="9350" w:leader="dot"/>
            </w:tabs>
            <w:rPr/>
          </w:pPr>
          <w:r>
            <w:rPr/>
            <w:t>4.4</w:t>
            <w:tab/>
            <w:t>Access to Site and Rights of Way</w:t>
            <w:tab/>
          </w:r>
          <w:hyperlink w:anchor="__RefHeading___Toc482936826">
            <w:r>
              <w:rPr>
                <w:rStyle w:val="IndexLink"/>
              </w:rPr>
              <w:t>24</w:t>
            </w:r>
          </w:hyperlink>
        </w:p>
        <w:p>
          <w:pPr>
            <w:pStyle w:val="TOC2"/>
            <w:tabs>
              <w:tab w:val="clear" w:pos="720"/>
              <w:tab w:val="left" w:pos="800" w:leader="none"/>
              <w:tab w:val="right" w:pos="9350" w:leader="dot"/>
            </w:tabs>
            <w:rPr/>
          </w:pPr>
          <w:r>
            <w:rPr/>
            <w:t>4.5</w:t>
            <w:tab/>
            <w:t>Governmental Authorizations</w:t>
            <w:tab/>
          </w:r>
          <w:hyperlink w:anchor="__RefHeading___Toc482936827">
            <w:r>
              <w:rPr>
                <w:rStyle w:val="IndexLink"/>
              </w:rPr>
              <w:t>24</w:t>
            </w:r>
          </w:hyperlink>
        </w:p>
        <w:p>
          <w:pPr>
            <w:pStyle w:val="TOC2"/>
            <w:tabs>
              <w:tab w:val="clear" w:pos="720"/>
              <w:tab w:val="left" w:pos="800" w:leader="none"/>
              <w:tab w:val="right" w:pos="9350" w:leader="dot"/>
            </w:tabs>
            <w:rPr/>
          </w:pPr>
          <w:r>
            <w:rPr/>
            <w:t>4.6</w:t>
            <w:tab/>
            <w:t>Operating Personnel</w:t>
            <w:tab/>
          </w:r>
          <w:hyperlink w:anchor="__RefHeading___Toc482936828">
            <w:r>
              <w:rPr>
                <w:rStyle w:val="IndexLink"/>
              </w:rPr>
              <w:t>24</w:t>
            </w:r>
          </w:hyperlink>
        </w:p>
        <w:p>
          <w:pPr>
            <w:pStyle w:val="TOC2"/>
            <w:tabs>
              <w:tab w:val="clear" w:pos="720"/>
              <w:tab w:val="left" w:pos="800" w:leader="none"/>
              <w:tab w:val="right" w:pos="9350" w:leader="dot"/>
            </w:tabs>
            <w:rPr/>
          </w:pPr>
          <w:r>
            <w:rPr/>
            <w:t>4.7</w:t>
            <w:tab/>
            <w:t>Coordination with Offtakers</w:t>
            <w:tab/>
          </w:r>
          <w:hyperlink w:anchor="__RefHeading___Toc482936829">
            <w:r>
              <w:rPr>
                <w:rStyle w:val="IndexLink"/>
              </w:rPr>
              <w:t>25</w:t>
            </w:r>
          </w:hyperlink>
        </w:p>
        <w:p>
          <w:pPr>
            <w:pStyle w:val="TOC2"/>
            <w:tabs>
              <w:tab w:val="clear" w:pos="720"/>
              <w:tab w:val="left" w:pos="800" w:leader="none"/>
              <w:tab w:val="right" w:pos="9350" w:leader="dot"/>
            </w:tabs>
            <w:rPr/>
          </w:pPr>
          <w:r>
            <w:rPr/>
            <w:t>4.8</w:t>
            <w:tab/>
            <w:t>Owner’s Representative</w:t>
            <w:tab/>
          </w:r>
          <w:hyperlink w:anchor="__RefHeading___Toc482936830">
            <w:r>
              <w:rPr>
                <w:rStyle w:val="IndexLink"/>
              </w:rPr>
              <w:t>25</w:t>
            </w:r>
          </w:hyperlink>
        </w:p>
        <w:p>
          <w:pPr>
            <w:pStyle w:val="TOC2"/>
            <w:tabs>
              <w:tab w:val="clear" w:pos="720"/>
              <w:tab w:val="left" w:pos="800" w:leader="none"/>
              <w:tab w:val="right" w:pos="9350" w:leader="dot"/>
            </w:tabs>
            <w:rPr/>
          </w:pPr>
          <w:r>
            <w:rPr/>
            <w:t>4.9</w:t>
            <w:tab/>
            <w:t>Divergences from Law</w:t>
            <w:tab/>
          </w:r>
          <w:hyperlink w:anchor="__RefHeading___Toc482936831">
            <w:r>
              <w:rPr>
                <w:rStyle w:val="IndexLink"/>
              </w:rPr>
              <w:t>25</w:t>
            </w:r>
          </w:hyperlink>
        </w:p>
        <w:p>
          <w:pPr>
            <w:pStyle w:val="TOC2"/>
            <w:tabs>
              <w:tab w:val="clear" w:pos="720"/>
              <w:tab w:val="left" w:pos="800" w:leader="none"/>
              <w:tab w:val="right" w:pos="9350" w:leader="dot"/>
            </w:tabs>
            <w:rPr/>
          </w:pPr>
          <w:r>
            <w:rPr/>
            <w:t>4.10</w:t>
            <w:tab/>
            <w:t>Owner Delay</w:t>
            <w:tab/>
          </w:r>
          <w:hyperlink w:anchor="__RefHeading___Toc482936832">
            <w:r>
              <w:rPr>
                <w:rStyle w:val="IndexLink"/>
              </w:rPr>
              <w:t>25</w:t>
            </w:r>
          </w:hyperlink>
        </w:p>
        <w:p>
          <w:pPr>
            <w:pStyle w:val="TOC2"/>
            <w:tabs>
              <w:tab w:val="clear" w:pos="720"/>
              <w:tab w:val="left" w:pos="800" w:leader="none"/>
              <w:tab w:val="right" w:pos="9350" w:leader="dot"/>
            </w:tabs>
            <w:rPr/>
          </w:pPr>
          <w:r>
            <w:rPr/>
            <w:t>4.11</w:t>
            <w:tab/>
            <w:t>Foreign Corrupt Practices Act</w:t>
            <w:tab/>
          </w:r>
          <w:hyperlink w:anchor="__RefHeading___Toc482936833">
            <w:r>
              <w:rPr>
                <w:rStyle w:val="IndexLink"/>
              </w:rPr>
              <w:t>25</w:t>
            </w:r>
          </w:hyperlink>
        </w:p>
        <w:p>
          <w:pPr>
            <w:pStyle w:val="TOC2"/>
            <w:tabs>
              <w:tab w:val="clear" w:pos="720"/>
              <w:tab w:val="left" w:pos="800" w:leader="none"/>
              <w:tab w:val="right" w:pos="9350" w:leader="dot"/>
            </w:tabs>
            <w:rPr/>
          </w:pPr>
          <w:r>
            <w:rPr/>
            <w:t>4.12</w:t>
            <w:tab/>
            <w:t>Compliance with Law</w:t>
            <w:tab/>
          </w:r>
          <w:hyperlink w:anchor="__RefHeading___Toc482936834">
            <w:r>
              <w:rPr>
                <w:rStyle w:val="IndexLink"/>
              </w:rPr>
              <w:t>26</w:t>
            </w:r>
          </w:hyperlink>
        </w:p>
        <w:p>
          <w:pPr>
            <w:pStyle w:val="TOC2"/>
            <w:tabs>
              <w:tab w:val="clear" w:pos="720"/>
              <w:tab w:val="left" w:pos="800" w:leader="none"/>
              <w:tab w:val="right" w:pos="9350" w:leader="dot"/>
            </w:tabs>
            <w:rPr/>
          </w:pPr>
          <w:r>
            <w:rPr/>
            <w:t>4.13</w:t>
            <w:tab/>
            <w:t>Taxes and Duties</w:t>
            <w:tab/>
          </w:r>
          <w:hyperlink w:anchor="__RefHeading___Toc482936835">
            <w:r>
              <w:rPr>
                <w:rStyle w:val="IndexLink"/>
              </w:rPr>
              <w:t>26</w:t>
            </w:r>
          </w:hyperlink>
        </w:p>
        <w:p>
          <w:pPr>
            <w:pStyle w:val="TOC1"/>
            <w:rPr/>
          </w:pPr>
          <w:r>
            <w:rPr/>
            <w:t>ARTICLE 5:  COMMENCEMENT OF WORK</w:t>
            <w:tab/>
          </w:r>
          <w:hyperlink w:anchor="__RefHeading___Toc482936836">
            <w:r>
              <w:rPr>
                <w:rStyle w:val="IndexLink"/>
              </w:rPr>
              <w:t>26</w:t>
            </w:r>
          </w:hyperlink>
        </w:p>
        <w:p>
          <w:pPr>
            <w:pStyle w:val="TOC2"/>
            <w:tabs>
              <w:tab w:val="clear" w:pos="720"/>
              <w:tab w:val="left" w:pos="800" w:leader="none"/>
              <w:tab w:val="right" w:pos="9350" w:leader="dot"/>
            </w:tabs>
            <w:rPr/>
          </w:pPr>
          <w:r>
            <w:rPr/>
            <w:t>5.1</w:t>
            <w:tab/>
            <w:t>Commencement of Work</w:t>
            <w:tab/>
          </w:r>
          <w:hyperlink w:anchor="__RefHeading___Toc482936837">
            <w:r>
              <w:rPr>
                <w:rStyle w:val="IndexLink"/>
              </w:rPr>
              <w:t>26</w:t>
            </w:r>
          </w:hyperlink>
        </w:p>
        <w:p>
          <w:pPr>
            <w:pStyle w:val="TOC2"/>
            <w:tabs>
              <w:tab w:val="clear" w:pos="720"/>
              <w:tab w:val="left" w:pos="800" w:leader="none"/>
              <w:tab w:val="right" w:pos="9350" w:leader="dot"/>
            </w:tabs>
            <w:rPr/>
          </w:pPr>
          <w:r>
            <w:rPr/>
            <w:t>5.2</w:t>
            <w:tab/>
            <w:t>Project Schedule</w:t>
            <w:tab/>
          </w:r>
          <w:hyperlink w:anchor="__RefHeading___Toc482936838">
            <w:r>
              <w:rPr>
                <w:rStyle w:val="IndexLink"/>
              </w:rPr>
              <w:t>27</w:t>
            </w:r>
          </w:hyperlink>
        </w:p>
        <w:p>
          <w:pPr>
            <w:pStyle w:val="TOC2"/>
            <w:tabs>
              <w:tab w:val="clear" w:pos="720"/>
              <w:tab w:val="left" w:pos="800" w:leader="none"/>
              <w:tab w:val="right" w:pos="9350" w:leader="dot"/>
            </w:tabs>
            <w:rPr/>
          </w:pPr>
          <w:r>
            <w:rPr/>
            <w:t>5.3</w:t>
            <w:tab/>
            <w:t>Progress Reports and Consultation</w:t>
            <w:tab/>
          </w:r>
          <w:hyperlink w:anchor="__RefHeading___Toc482936839">
            <w:r>
              <w:rPr>
                <w:rStyle w:val="IndexLink"/>
              </w:rPr>
              <w:t>28</w:t>
            </w:r>
          </w:hyperlink>
        </w:p>
        <w:p>
          <w:pPr>
            <w:pStyle w:val="TOC1"/>
            <w:rPr/>
          </w:pPr>
          <w:r>
            <w:rPr/>
            <w:t>ARTICLE 6:  CHANGES</w:t>
            <w:tab/>
          </w:r>
          <w:hyperlink w:anchor="__RefHeading___Toc482936840">
            <w:r>
              <w:rPr>
                <w:rStyle w:val="IndexLink"/>
              </w:rPr>
              <w:t>28</w:t>
            </w:r>
          </w:hyperlink>
        </w:p>
        <w:p>
          <w:pPr>
            <w:pStyle w:val="TOC2"/>
            <w:tabs>
              <w:tab w:val="clear" w:pos="720"/>
              <w:tab w:val="left" w:pos="800" w:leader="none"/>
              <w:tab w:val="right" w:pos="9350" w:leader="dot"/>
            </w:tabs>
            <w:rPr/>
          </w:pPr>
          <w:r>
            <w:rPr/>
            <w:t>6.1</w:t>
            <w:tab/>
            <w:t>Change Orders</w:t>
            <w:tab/>
          </w:r>
          <w:hyperlink w:anchor="__RefHeading___Toc482936841">
            <w:r>
              <w:rPr>
                <w:rStyle w:val="IndexLink"/>
              </w:rPr>
              <w:t>28</w:t>
            </w:r>
          </w:hyperlink>
        </w:p>
        <w:p>
          <w:pPr>
            <w:pStyle w:val="TOC2"/>
            <w:tabs>
              <w:tab w:val="clear" w:pos="720"/>
              <w:tab w:val="left" w:pos="800" w:leader="none"/>
              <w:tab w:val="right" w:pos="9350" w:leader="dot"/>
            </w:tabs>
            <w:rPr/>
          </w:pPr>
          <w:r>
            <w:rPr/>
            <w:t>6.2</w:t>
            <w:tab/>
            <w:t>Owner Directed Changes</w:t>
            <w:tab/>
          </w:r>
          <w:hyperlink w:anchor="__RefHeading___Toc482936842">
            <w:r>
              <w:rPr>
                <w:rStyle w:val="IndexLink"/>
              </w:rPr>
              <w:t>28</w:t>
            </w:r>
          </w:hyperlink>
        </w:p>
        <w:p>
          <w:pPr>
            <w:pStyle w:val="TOC2"/>
            <w:tabs>
              <w:tab w:val="clear" w:pos="720"/>
              <w:tab w:val="left" w:pos="800" w:leader="none"/>
              <w:tab w:val="right" w:pos="9350" w:leader="dot"/>
            </w:tabs>
            <w:rPr/>
          </w:pPr>
          <w:r>
            <w:rPr/>
            <w:t>6.3</w:t>
            <w:tab/>
            <w:t>Contractor Changes</w:t>
            <w:tab/>
          </w:r>
          <w:hyperlink w:anchor="__RefHeading___Toc482936843">
            <w:r>
              <w:rPr>
                <w:rStyle w:val="IndexLink"/>
              </w:rPr>
              <w:t>29</w:t>
            </w:r>
          </w:hyperlink>
        </w:p>
        <w:p>
          <w:pPr>
            <w:pStyle w:val="TOC2"/>
            <w:tabs>
              <w:tab w:val="clear" w:pos="720"/>
              <w:tab w:val="left" w:pos="800" w:leader="none"/>
              <w:tab w:val="right" w:pos="9350" w:leader="dot"/>
            </w:tabs>
            <w:rPr/>
          </w:pPr>
          <w:r>
            <w:rPr/>
            <w:t>6.4</w:t>
            <w:tab/>
            <w:t>Definition of Change</w:t>
            <w:tab/>
          </w:r>
          <w:hyperlink w:anchor="__RefHeading___Toc482936844">
            <w:r>
              <w:rPr>
                <w:rStyle w:val="IndexLink"/>
              </w:rPr>
              <w:t>29</w:t>
            </w:r>
          </w:hyperlink>
        </w:p>
        <w:p>
          <w:pPr>
            <w:pStyle w:val="TOC2"/>
            <w:tabs>
              <w:tab w:val="clear" w:pos="720"/>
              <w:tab w:val="left" w:pos="800" w:leader="none"/>
              <w:tab w:val="right" w:pos="9350" w:leader="dot"/>
            </w:tabs>
            <w:rPr/>
          </w:pPr>
          <w:r>
            <w:rPr/>
            <w:t>6.5</w:t>
            <w:tab/>
            <w:t>Adjustments to Agreement</w:t>
            <w:tab/>
          </w:r>
          <w:hyperlink w:anchor="__RefHeading___Toc482936845">
            <w:r>
              <w:rPr>
                <w:rStyle w:val="IndexLink"/>
              </w:rPr>
              <w:t>29</w:t>
            </w:r>
          </w:hyperlink>
        </w:p>
        <w:p>
          <w:pPr>
            <w:pStyle w:val="TOC2"/>
            <w:tabs>
              <w:tab w:val="clear" w:pos="720"/>
              <w:tab w:val="left" w:pos="800" w:leader="none"/>
              <w:tab w:val="right" w:pos="9350" w:leader="dot"/>
            </w:tabs>
            <w:rPr/>
          </w:pPr>
          <w:r>
            <w:rPr/>
            <w:t>6.6</w:t>
            <w:tab/>
            <w:t>Performance of Changes</w:t>
            <w:tab/>
          </w:r>
          <w:hyperlink w:anchor="__RefHeading___Toc482936846">
            <w:r>
              <w:rPr>
                <w:rStyle w:val="IndexLink"/>
              </w:rPr>
              <w:t>30</w:t>
            </w:r>
          </w:hyperlink>
        </w:p>
        <w:p>
          <w:pPr>
            <w:pStyle w:val="TOC2"/>
            <w:tabs>
              <w:tab w:val="clear" w:pos="720"/>
              <w:tab w:val="left" w:pos="800" w:leader="none"/>
              <w:tab w:val="right" w:pos="9350" w:leader="dot"/>
            </w:tabs>
            <w:rPr/>
          </w:pPr>
          <w:r>
            <w:rPr/>
            <w:t>6.7</w:t>
            <w:tab/>
            <w:t>Other Provisions Unaffected</w:t>
            <w:tab/>
          </w:r>
          <w:hyperlink w:anchor="__RefHeading___Toc482936847">
            <w:r>
              <w:rPr>
                <w:rStyle w:val="IndexLink"/>
              </w:rPr>
              <w:t>30</w:t>
            </w:r>
          </w:hyperlink>
        </w:p>
        <w:p>
          <w:pPr>
            <w:pStyle w:val="TOC2"/>
            <w:tabs>
              <w:tab w:val="clear" w:pos="720"/>
              <w:tab w:val="left" w:pos="800" w:leader="none"/>
              <w:tab w:val="right" w:pos="9350" w:leader="dot"/>
            </w:tabs>
            <w:rPr/>
          </w:pPr>
          <w:r>
            <w:rPr/>
            <w:t>6.8</w:t>
            <w:tab/>
            <w:t>Change in Law or Owner Delay</w:t>
            <w:tab/>
          </w:r>
          <w:hyperlink w:anchor="__RefHeading___Toc482936848">
            <w:r>
              <w:rPr>
                <w:rStyle w:val="IndexLink"/>
              </w:rPr>
              <w:t>30</w:t>
            </w:r>
          </w:hyperlink>
        </w:p>
        <w:p>
          <w:pPr>
            <w:pStyle w:val="TOC1"/>
            <w:rPr/>
          </w:pPr>
          <w:r>
            <w:rPr/>
            <w:t>ARTICLE 7: CONTRACT PRICE; PAYMENTS TO CONTRACTOR</w:t>
            <w:tab/>
          </w:r>
          <w:hyperlink w:anchor="__RefHeading___Toc482936849">
            <w:r>
              <w:rPr>
                <w:rStyle w:val="IndexLink"/>
              </w:rPr>
              <w:t>30</w:t>
            </w:r>
          </w:hyperlink>
        </w:p>
        <w:p>
          <w:pPr>
            <w:pStyle w:val="TOC2"/>
            <w:tabs>
              <w:tab w:val="clear" w:pos="720"/>
              <w:tab w:val="left" w:pos="800" w:leader="none"/>
              <w:tab w:val="right" w:pos="9350" w:leader="dot"/>
            </w:tabs>
            <w:rPr/>
          </w:pPr>
          <w:r>
            <w:rPr/>
            <w:t>7.1</w:t>
            <w:tab/>
            <w:t>Contract Price</w:t>
            <w:tab/>
          </w:r>
          <w:hyperlink w:anchor="__RefHeading___Toc482936850">
            <w:r>
              <w:rPr>
                <w:rStyle w:val="IndexLink"/>
              </w:rPr>
              <w:t>30</w:t>
            </w:r>
          </w:hyperlink>
        </w:p>
        <w:p>
          <w:pPr>
            <w:pStyle w:val="TOC2"/>
            <w:tabs>
              <w:tab w:val="clear" w:pos="720"/>
              <w:tab w:val="left" w:pos="800" w:leader="none"/>
              <w:tab w:val="right" w:pos="9350" w:leader="dot"/>
            </w:tabs>
            <w:rPr/>
          </w:pPr>
          <w:r>
            <w:rPr/>
            <w:t>7.2</w:t>
            <w:tab/>
            <w:t>Payment of Contract Price</w:t>
            <w:tab/>
          </w:r>
          <w:hyperlink w:anchor="__RefHeading___Toc482936851">
            <w:r>
              <w:rPr>
                <w:rStyle w:val="IndexLink"/>
              </w:rPr>
              <w:t>31</w:t>
            </w:r>
          </w:hyperlink>
        </w:p>
        <w:p>
          <w:pPr>
            <w:pStyle w:val="TOC2"/>
            <w:tabs>
              <w:tab w:val="clear" w:pos="720"/>
              <w:tab w:val="left" w:pos="800" w:leader="none"/>
              <w:tab w:val="right" w:pos="9350" w:leader="dot"/>
            </w:tabs>
            <w:rPr/>
          </w:pPr>
          <w:r>
            <w:rPr/>
            <w:t>7.3</w:t>
            <w:tab/>
            <w:t>Payments Not Waiver or Acceptance of Work</w:t>
            <w:tab/>
          </w:r>
          <w:hyperlink w:anchor="__RefHeading___Toc482936852">
            <w:r>
              <w:rPr>
                <w:rStyle w:val="IndexLink"/>
              </w:rPr>
              <w:t>32</w:t>
            </w:r>
          </w:hyperlink>
        </w:p>
        <w:p>
          <w:pPr>
            <w:pStyle w:val="TOC2"/>
            <w:tabs>
              <w:tab w:val="clear" w:pos="720"/>
              <w:tab w:val="left" w:pos="800" w:leader="none"/>
              <w:tab w:val="right" w:pos="9350" w:leader="dot"/>
            </w:tabs>
            <w:rPr/>
          </w:pPr>
          <w:r>
            <w:rPr/>
            <w:t>7.4</w:t>
            <w:tab/>
            <w:t>Payment of Subcontractors</w:t>
            <w:tab/>
          </w:r>
          <w:hyperlink w:anchor="__RefHeading___Toc482936853">
            <w:r>
              <w:rPr>
                <w:rStyle w:val="IndexLink"/>
              </w:rPr>
              <w:t>32</w:t>
            </w:r>
          </w:hyperlink>
        </w:p>
        <w:p>
          <w:pPr>
            <w:pStyle w:val="TOC2"/>
            <w:tabs>
              <w:tab w:val="clear" w:pos="720"/>
              <w:tab w:val="left" w:pos="800" w:leader="none"/>
              <w:tab w:val="right" w:pos="9350" w:leader="dot"/>
            </w:tabs>
            <w:rPr/>
          </w:pPr>
          <w:r>
            <w:rPr/>
            <w:t>7.5</w:t>
            <w:tab/>
            <w:t>Waiver of Liens</w:t>
            <w:tab/>
          </w:r>
          <w:hyperlink w:anchor="__RefHeading___Toc482936854">
            <w:r>
              <w:rPr>
                <w:rStyle w:val="IndexLink"/>
              </w:rPr>
              <w:t>32</w:t>
            </w:r>
          </w:hyperlink>
        </w:p>
        <w:p>
          <w:pPr>
            <w:pStyle w:val="TOC2"/>
            <w:tabs>
              <w:tab w:val="clear" w:pos="720"/>
              <w:tab w:val="left" w:pos="800" w:leader="none"/>
              <w:tab w:val="right" w:pos="9350" w:leader="dot"/>
            </w:tabs>
            <w:rPr/>
          </w:pPr>
          <w:r>
            <w:rPr/>
            <w:t>7.6</w:t>
            <w:tab/>
            <w:t>Interest and Disputed Invoices</w:t>
            <w:tab/>
          </w:r>
          <w:hyperlink w:anchor="__RefHeading___Toc482936855">
            <w:r>
              <w:rPr>
                <w:rStyle w:val="IndexLink"/>
              </w:rPr>
              <w:t>32</w:t>
            </w:r>
          </w:hyperlink>
        </w:p>
        <w:p>
          <w:pPr>
            <w:pStyle w:val="TOC1"/>
            <w:rPr/>
          </w:pPr>
          <w:r>
            <w:rPr/>
            <w:t>ARTICLE 8:  TITLE AND RISK OF LOSS</w:t>
            <w:tab/>
          </w:r>
          <w:hyperlink w:anchor="__RefHeading___Toc482936856">
            <w:r>
              <w:rPr>
                <w:rStyle w:val="IndexLink"/>
              </w:rPr>
              <w:t>33</w:t>
            </w:r>
          </w:hyperlink>
        </w:p>
        <w:p>
          <w:pPr>
            <w:pStyle w:val="TOC2"/>
            <w:tabs>
              <w:tab w:val="clear" w:pos="720"/>
              <w:tab w:val="left" w:pos="800" w:leader="none"/>
              <w:tab w:val="right" w:pos="9350" w:leader="dot"/>
            </w:tabs>
            <w:rPr/>
          </w:pPr>
          <w:r>
            <w:rPr/>
            <w:t>8.1</w:t>
            <w:tab/>
            <w:t>Title</w:t>
            <w:tab/>
          </w:r>
          <w:hyperlink w:anchor="__RefHeading___Toc482936857">
            <w:r>
              <w:rPr>
                <w:rStyle w:val="IndexLink"/>
              </w:rPr>
              <w:t>33</w:t>
            </w:r>
          </w:hyperlink>
        </w:p>
        <w:p>
          <w:pPr>
            <w:pStyle w:val="TOC2"/>
            <w:tabs>
              <w:tab w:val="clear" w:pos="720"/>
              <w:tab w:val="left" w:pos="800" w:leader="none"/>
              <w:tab w:val="right" w:pos="9350" w:leader="dot"/>
            </w:tabs>
            <w:rPr/>
          </w:pPr>
          <w:r>
            <w:rPr/>
            <w:t>8.2</w:t>
            <w:tab/>
            <w:t>Risk of Loss</w:t>
            <w:tab/>
          </w:r>
          <w:hyperlink w:anchor="__RefHeading___Toc482936858">
            <w:r>
              <w:rPr>
                <w:rStyle w:val="IndexLink"/>
              </w:rPr>
              <w:t>34</w:t>
            </w:r>
          </w:hyperlink>
        </w:p>
        <w:p>
          <w:pPr>
            <w:pStyle w:val="TOC2"/>
            <w:tabs>
              <w:tab w:val="clear" w:pos="720"/>
              <w:tab w:val="left" w:pos="800" w:leader="none"/>
              <w:tab w:val="right" w:pos="9350" w:leader="dot"/>
            </w:tabs>
            <w:rPr/>
          </w:pPr>
          <w:r>
            <w:rPr/>
            <w:t>8.3</w:t>
            <w:tab/>
            <w:t>Use by Owner</w:t>
            <w:tab/>
          </w:r>
          <w:hyperlink w:anchor="__RefHeading___Toc482936859">
            <w:r>
              <w:rPr>
                <w:rStyle w:val="IndexLink"/>
              </w:rPr>
              <w:t>34</w:t>
            </w:r>
          </w:hyperlink>
        </w:p>
        <w:p>
          <w:pPr>
            <w:pStyle w:val="TOC1"/>
            <w:rPr/>
          </w:pPr>
          <w:r>
            <w:rPr/>
            <w:t>ARTICLE 9:  INSURANCE</w:t>
            <w:tab/>
          </w:r>
          <w:hyperlink w:anchor="__RefHeading___Toc482936860">
            <w:r>
              <w:rPr>
                <w:rStyle w:val="IndexLink"/>
              </w:rPr>
              <w:t>34</w:t>
            </w:r>
          </w:hyperlink>
        </w:p>
        <w:p>
          <w:pPr>
            <w:pStyle w:val="TOC2"/>
            <w:tabs>
              <w:tab w:val="clear" w:pos="720"/>
              <w:tab w:val="left" w:pos="800" w:leader="none"/>
              <w:tab w:val="right" w:pos="9350" w:leader="dot"/>
            </w:tabs>
            <w:rPr/>
          </w:pPr>
          <w:r>
            <w:rPr/>
            <w:t>9.1</w:t>
            <w:tab/>
            <w:t>Contractor’s Insurance</w:t>
            <w:tab/>
          </w:r>
          <w:hyperlink w:anchor="__RefHeading___Toc482936861">
            <w:r>
              <w:rPr>
                <w:rStyle w:val="IndexLink"/>
              </w:rPr>
              <w:t>34</w:t>
            </w:r>
          </w:hyperlink>
        </w:p>
        <w:p>
          <w:pPr>
            <w:pStyle w:val="TOC2"/>
            <w:tabs>
              <w:tab w:val="clear" w:pos="720"/>
              <w:tab w:val="left" w:pos="800" w:leader="none"/>
              <w:tab w:val="right" w:pos="9350" w:leader="dot"/>
            </w:tabs>
            <w:rPr/>
          </w:pPr>
          <w:r>
            <w:rPr/>
            <w:t>9.2</w:t>
            <w:tab/>
            <w:t>Owner’s Insurance</w:t>
            <w:tab/>
          </w:r>
          <w:hyperlink w:anchor="__RefHeading___Toc482936862">
            <w:r>
              <w:rPr>
                <w:rStyle w:val="IndexLink"/>
              </w:rPr>
              <w:t>35</w:t>
            </w:r>
          </w:hyperlink>
        </w:p>
        <w:p>
          <w:pPr>
            <w:pStyle w:val="TOC2"/>
            <w:tabs>
              <w:tab w:val="clear" w:pos="720"/>
              <w:tab w:val="left" w:pos="800" w:leader="none"/>
              <w:tab w:val="right" w:pos="9350" w:leader="dot"/>
            </w:tabs>
            <w:rPr/>
          </w:pPr>
          <w:r>
            <w:rPr/>
            <w:t>9.3</w:t>
            <w:tab/>
            <w:t>Certificates and Cancellations</w:t>
            <w:tab/>
          </w:r>
          <w:hyperlink w:anchor="__RefHeading___Toc482936863">
            <w:r>
              <w:rPr>
                <w:rStyle w:val="IndexLink"/>
              </w:rPr>
              <w:t>35</w:t>
            </w:r>
          </w:hyperlink>
        </w:p>
        <w:p>
          <w:pPr>
            <w:pStyle w:val="TOC2"/>
            <w:tabs>
              <w:tab w:val="clear" w:pos="720"/>
              <w:tab w:val="left" w:pos="800" w:leader="none"/>
              <w:tab w:val="right" w:pos="9350" w:leader="dot"/>
            </w:tabs>
            <w:rPr/>
          </w:pPr>
          <w:r>
            <w:rPr/>
            <w:t>9.4</w:t>
            <w:tab/>
            <w:t>Failure to Pay</w:t>
            <w:tab/>
          </w:r>
          <w:hyperlink w:anchor="__RefHeading___Toc482936864">
            <w:r>
              <w:rPr>
                <w:rStyle w:val="IndexLink"/>
              </w:rPr>
              <w:t>36</w:t>
            </w:r>
          </w:hyperlink>
        </w:p>
        <w:p>
          <w:pPr>
            <w:pStyle w:val="TOC2"/>
            <w:tabs>
              <w:tab w:val="clear" w:pos="720"/>
              <w:tab w:val="left" w:pos="800" w:leader="none"/>
              <w:tab w:val="right" w:pos="9350" w:leader="dot"/>
            </w:tabs>
            <w:rPr/>
          </w:pPr>
          <w:r>
            <w:rPr/>
            <w:t>9.5</w:t>
            <w:tab/>
            <w:t>Miscellaneous</w:t>
            <w:tab/>
          </w:r>
          <w:hyperlink w:anchor="__RefHeading___Toc482936865">
            <w:r>
              <w:rPr>
                <w:rStyle w:val="IndexLink"/>
              </w:rPr>
              <w:t>36</w:t>
            </w:r>
          </w:hyperlink>
        </w:p>
        <w:p>
          <w:pPr>
            <w:pStyle w:val="TOC1"/>
            <w:rPr/>
          </w:pPr>
          <w:r>
            <w:rPr/>
            <w:t>ARTICLE 10:  DOCUMENTATION</w:t>
            <w:tab/>
          </w:r>
          <w:hyperlink w:anchor="__RefHeading___Toc482936866">
            <w:r>
              <w:rPr>
                <w:rStyle w:val="IndexLink"/>
              </w:rPr>
              <w:t>37</w:t>
            </w:r>
          </w:hyperlink>
        </w:p>
        <w:p>
          <w:pPr>
            <w:pStyle w:val="TOC2"/>
            <w:tabs>
              <w:tab w:val="clear" w:pos="720"/>
              <w:tab w:val="left" w:pos="800" w:leader="none"/>
              <w:tab w:val="right" w:pos="9350" w:leader="dot"/>
            </w:tabs>
            <w:rPr/>
          </w:pPr>
          <w:r>
            <w:rPr/>
            <w:t>10.1</w:t>
            <w:tab/>
            <w:t>Delivery of Job Books</w:t>
            <w:tab/>
          </w:r>
          <w:hyperlink w:anchor="__RefHeading___Toc482936867">
            <w:r>
              <w:rPr>
                <w:rStyle w:val="IndexLink"/>
              </w:rPr>
              <w:t>37</w:t>
            </w:r>
          </w:hyperlink>
        </w:p>
        <w:p>
          <w:pPr>
            <w:pStyle w:val="TOC2"/>
            <w:tabs>
              <w:tab w:val="clear" w:pos="720"/>
              <w:tab w:val="left" w:pos="800" w:leader="none"/>
              <w:tab w:val="right" w:pos="9350" w:leader="dot"/>
            </w:tabs>
            <w:rPr/>
          </w:pPr>
          <w:r>
            <w:rPr/>
            <w:t>10.2</w:t>
            <w:tab/>
            <w:t>Machine Readable Information</w:t>
            <w:tab/>
          </w:r>
          <w:hyperlink w:anchor="__RefHeading___Toc482936868">
            <w:r>
              <w:rPr>
                <w:rStyle w:val="IndexLink"/>
              </w:rPr>
              <w:t>37</w:t>
            </w:r>
          </w:hyperlink>
        </w:p>
        <w:p>
          <w:pPr>
            <w:pStyle w:val="TOC1"/>
            <w:rPr/>
          </w:pPr>
          <w:r>
            <w:rPr/>
            <w:t>ARTICLE 11:  COMPLETION</w:t>
            <w:tab/>
          </w:r>
          <w:hyperlink w:anchor="__RefHeading___Toc482936869">
            <w:r>
              <w:rPr>
                <w:rStyle w:val="IndexLink"/>
              </w:rPr>
              <w:t>37</w:t>
            </w:r>
          </w:hyperlink>
        </w:p>
        <w:p>
          <w:pPr>
            <w:pStyle w:val="TOC2"/>
            <w:tabs>
              <w:tab w:val="clear" w:pos="720"/>
              <w:tab w:val="left" w:pos="800" w:leader="none"/>
              <w:tab w:val="right" w:pos="9350" w:leader="dot"/>
            </w:tabs>
            <w:rPr/>
          </w:pPr>
          <w:r>
            <w:rPr/>
            <w:t>11.1</w:t>
            <w:tab/>
            <w:t>Notices</w:t>
            <w:tab/>
          </w:r>
          <w:hyperlink w:anchor="__RefHeading___Toc482936870">
            <w:r>
              <w:rPr>
                <w:rStyle w:val="IndexLink"/>
              </w:rPr>
              <w:t>37</w:t>
            </w:r>
          </w:hyperlink>
        </w:p>
        <w:p>
          <w:pPr>
            <w:pStyle w:val="TOC2"/>
            <w:tabs>
              <w:tab w:val="clear" w:pos="720"/>
              <w:tab w:val="left" w:pos="800" w:leader="none"/>
              <w:tab w:val="right" w:pos="9350" w:leader="dot"/>
            </w:tabs>
            <w:rPr/>
          </w:pPr>
          <w:r>
            <w:rPr/>
            <w:t>11.2</w:t>
            <w:tab/>
            <w:t>Provisional Acceptance Certificates</w:t>
            <w:tab/>
          </w:r>
          <w:hyperlink w:anchor="__RefHeading___Toc482936871">
            <w:r>
              <w:rPr>
                <w:rStyle w:val="IndexLink"/>
              </w:rPr>
              <w:t>37</w:t>
            </w:r>
          </w:hyperlink>
        </w:p>
        <w:p>
          <w:pPr>
            <w:pStyle w:val="TOC2"/>
            <w:tabs>
              <w:tab w:val="clear" w:pos="720"/>
              <w:tab w:val="left" w:pos="800" w:leader="none"/>
              <w:tab w:val="right" w:pos="9350" w:leader="dot"/>
            </w:tabs>
            <w:rPr/>
          </w:pPr>
          <w:r>
            <w:rPr/>
            <w:t>11.3</w:t>
            <w:tab/>
            <w:t>Final Completion</w:t>
            <w:tab/>
          </w:r>
          <w:hyperlink w:anchor="__RefHeading___Toc482936872">
            <w:r>
              <w:rPr>
                <w:rStyle w:val="IndexLink"/>
              </w:rPr>
              <w:t>38</w:t>
            </w:r>
          </w:hyperlink>
        </w:p>
        <w:p>
          <w:pPr>
            <w:pStyle w:val="TOC2"/>
            <w:tabs>
              <w:tab w:val="clear" w:pos="720"/>
              <w:tab w:val="left" w:pos="800" w:leader="none"/>
              <w:tab w:val="right" w:pos="9350" w:leader="dot"/>
            </w:tabs>
            <w:rPr/>
          </w:pPr>
          <w:r>
            <w:rPr/>
            <w:t>11.4</w:t>
            <w:tab/>
            <w:t>Owner Acceptance of Completion Certificates</w:t>
            <w:tab/>
          </w:r>
          <w:hyperlink w:anchor="__RefHeading___Toc482936873">
            <w:r>
              <w:rPr>
                <w:rStyle w:val="IndexLink"/>
              </w:rPr>
              <w:t>39</w:t>
            </w:r>
          </w:hyperlink>
        </w:p>
        <w:p>
          <w:pPr>
            <w:pStyle w:val="TOC2"/>
            <w:tabs>
              <w:tab w:val="clear" w:pos="720"/>
              <w:tab w:val="left" w:pos="800" w:leader="none"/>
              <w:tab w:val="right" w:pos="9350" w:leader="dot"/>
            </w:tabs>
            <w:rPr/>
          </w:pPr>
          <w:r>
            <w:rPr/>
            <w:t>11.5</w:t>
            <w:tab/>
            <w:t>Punchlist</w:t>
            <w:tab/>
          </w:r>
          <w:hyperlink w:anchor="__RefHeading___Toc482936874">
            <w:r>
              <w:rPr>
                <w:rStyle w:val="IndexLink"/>
              </w:rPr>
              <w:t>39</w:t>
            </w:r>
          </w:hyperlink>
        </w:p>
        <w:p>
          <w:pPr>
            <w:pStyle w:val="TOC2"/>
            <w:tabs>
              <w:tab w:val="clear" w:pos="720"/>
              <w:tab w:val="left" w:pos="800" w:leader="none"/>
              <w:tab w:val="right" w:pos="9350" w:leader="dot"/>
            </w:tabs>
            <w:rPr/>
          </w:pPr>
          <w:r>
            <w:rPr/>
            <w:t>11.6</w:t>
            <w:tab/>
            <w:t>Right of Waiver</w:t>
            <w:tab/>
          </w:r>
          <w:hyperlink w:anchor="__RefHeading___Toc482936875">
            <w:r>
              <w:rPr>
                <w:rStyle w:val="IndexLink"/>
              </w:rPr>
              <w:t>40</w:t>
            </w:r>
          </w:hyperlink>
        </w:p>
        <w:p>
          <w:pPr>
            <w:pStyle w:val="TOC2"/>
            <w:tabs>
              <w:tab w:val="clear" w:pos="720"/>
              <w:tab w:val="left" w:pos="800" w:leader="none"/>
              <w:tab w:val="right" w:pos="9350" w:leader="dot"/>
            </w:tabs>
            <w:rPr/>
          </w:pPr>
          <w:r>
            <w:rPr/>
            <w:t>11.7</w:t>
            <w:tab/>
            <w:t>Long-Term Obligations</w:t>
            <w:tab/>
          </w:r>
          <w:hyperlink w:anchor="__RefHeading___Toc482936876">
            <w:r>
              <w:rPr>
                <w:rStyle w:val="IndexLink"/>
              </w:rPr>
              <w:t>40</w:t>
            </w:r>
          </w:hyperlink>
        </w:p>
        <w:p>
          <w:pPr>
            <w:pStyle w:val="TOC1"/>
            <w:rPr/>
          </w:pPr>
          <w:r>
            <w:rPr/>
            <w:t>ARTICLE 12:  WARRANTY</w:t>
            <w:tab/>
          </w:r>
          <w:hyperlink w:anchor="__RefHeading___Toc482936877">
            <w:r>
              <w:rPr>
                <w:rStyle w:val="IndexLink"/>
              </w:rPr>
              <w:t>40</w:t>
            </w:r>
          </w:hyperlink>
        </w:p>
        <w:p>
          <w:pPr>
            <w:pStyle w:val="TOC2"/>
            <w:tabs>
              <w:tab w:val="clear" w:pos="720"/>
              <w:tab w:val="left" w:pos="800" w:leader="none"/>
              <w:tab w:val="right" w:pos="9350" w:leader="dot"/>
            </w:tabs>
            <w:rPr/>
          </w:pPr>
          <w:r>
            <w:rPr/>
            <w:t>12.1</w:t>
            <w:tab/>
            <w:t>General Warranty</w:t>
            <w:tab/>
          </w:r>
          <w:hyperlink w:anchor="__RefHeading___Toc482936878">
            <w:r>
              <w:rPr>
                <w:rStyle w:val="IndexLink"/>
              </w:rPr>
              <w:t>40</w:t>
            </w:r>
          </w:hyperlink>
        </w:p>
        <w:p>
          <w:pPr>
            <w:pStyle w:val="TOC2"/>
            <w:tabs>
              <w:tab w:val="clear" w:pos="720"/>
              <w:tab w:val="left" w:pos="800" w:leader="none"/>
              <w:tab w:val="right" w:pos="9350" w:leader="dot"/>
            </w:tabs>
            <w:rPr/>
          </w:pPr>
          <w:r>
            <w:rPr/>
            <w:t>12.2</w:t>
            <w:tab/>
            <w:t>Warranty Period</w:t>
            <w:tab/>
          </w:r>
          <w:hyperlink w:anchor="__RefHeading___Toc482936879">
            <w:r>
              <w:rPr>
                <w:rStyle w:val="IndexLink"/>
              </w:rPr>
              <w:t>40</w:t>
            </w:r>
          </w:hyperlink>
        </w:p>
        <w:p>
          <w:pPr>
            <w:pStyle w:val="TOC2"/>
            <w:tabs>
              <w:tab w:val="clear" w:pos="720"/>
              <w:tab w:val="left" w:pos="800" w:leader="none"/>
              <w:tab w:val="right" w:pos="9350" w:leader="dot"/>
            </w:tabs>
            <w:rPr/>
          </w:pPr>
          <w:r>
            <w:rPr/>
            <w:t>12.3</w:t>
            <w:tab/>
            <w:t>Remedy</w:t>
            <w:tab/>
          </w:r>
          <w:hyperlink w:anchor="__RefHeading___Toc482936880">
            <w:r>
              <w:rPr>
                <w:rStyle w:val="IndexLink"/>
              </w:rPr>
              <w:t>41</w:t>
            </w:r>
          </w:hyperlink>
        </w:p>
        <w:p>
          <w:pPr>
            <w:pStyle w:val="TOC2"/>
            <w:tabs>
              <w:tab w:val="clear" w:pos="720"/>
              <w:tab w:val="left" w:pos="800" w:leader="none"/>
              <w:tab w:val="right" w:pos="9350" w:leader="dot"/>
            </w:tabs>
            <w:rPr/>
          </w:pPr>
          <w:r>
            <w:rPr/>
            <w:t>12.4</w:t>
            <w:tab/>
            <w:t>Subcontractor Warranties</w:t>
            <w:tab/>
          </w:r>
          <w:hyperlink w:anchor="__RefHeading___Toc482936881">
            <w:r>
              <w:rPr>
                <w:rStyle w:val="IndexLink"/>
              </w:rPr>
              <w:t>41</w:t>
            </w:r>
          </w:hyperlink>
        </w:p>
        <w:p>
          <w:pPr>
            <w:pStyle w:val="TOC2"/>
            <w:tabs>
              <w:tab w:val="clear" w:pos="720"/>
              <w:tab w:val="left" w:pos="800" w:leader="none"/>
              <w:tab w:val="right" w:pos="9350" w:leader="dot"/>
            </w:tabs>
            <w:rPr/>
          </w:pPr>
          <w:r>
            <w:rPr/>
            <w:t>12.5</w:t>
            <w:tab/>
            <w:t>Warranty Exclusions</w:t>
            <w:tab/>
          </w:r>
          <w:hyperlink w:anchor="__RefHeading___Toc482936882">
            <w:r>
              <w:rPr>
                <w:rStyle w:val="IndexLink"/>
              </w:rPr>
              <w:t>41</w:t>
            </w:r>
          </w:hyperlink>
        </w:p>
        <w:p>
          <w:pPr>
            <w:pStyle w:val="TOC2"/>
            <w:tabs>
              <w:tab w:val="clear" w:pos="720"/>
              <w:tab w:val="left" w:pos="800" w:leader="none"/>
              <w:tab w:val="right" w:pos="9350" w:leader="dot"/>
            </w:tabs>
            <w:rPr/>
          </w:pPr>
          <w:r>
            <w:rPr/>
            <w:t>12.6</w:t>
            <w:tab/>
            <w:t>No Implied Warranties</w:t>
            <w:tab/>
          </w:r>
          <w:hyperlink w:anchor="__RefHeading___Toc482936883">
            <w:r>
              <w:rPr>
                <w:rStyle w:val="IndexLink"/>
              </w:rPr>
              <w:t>41</w:t>
            </w:r>
          </w:hyperlink>
        </w:p>
        <w:p>
          <w:pPr>
            <w:pStyle w:val="TOC2"/>
            <w:tabs>
              <w:tab w:val="clear" w:pos="720"/>
              <w:tab w:val="left" w:pos="800" w:leader="none"/>
              <w:tab w:val="right" w:pos="9350" w:leader="dot"/>
            </w:tabs>
            <w:rPr/>
          </w:pPr>
          <w:r>
            <w:rPr/>
            <w:t>12.7</w:t>
            <w:tab/>
            <w:t>Post Repair Testing</w:t>
            <w:tab/>
          </w:r>
          <w:hyperlink w:anchor="__RefHeading___Toc482936884">
            <w:r>
              <w:rPr>
                <w:rStyle w:val="IndexLink"/>
              </w:rPr>
              <w:t>42</w:t>
            </w:r>
          </w:hyperlink>
        </w:p>
        <w:p>
          <w:pPr>
            <w:pStyle w:val="TOC1"/>
            <w:rPr/>
          </w:pPr>
          <w:r>
            <w:rPr/>
            <w:t>ARTICLE 13:  SCHEDULE GUARANTIES</w:t>
            <w:tab/>
          </w:r>
          <w:hyperlink w:anchor="__RefHeading___Toc482936885">
            <w:r>
              <w:rPr>
                <w:rStyle w:val="IndexLink"/>
              </w:rPr>
              <w:t>42</w:t>
            </w:r>
          </w:hyperlink>
        </w:p>
        <w:p>
          <w:pPr>
            <w:pStyle w:val="TOC2"/>
            <w:tabs>
              <w:tab w:val="clear" w:pos="720"/>
              <w:tab w:val="left" w:pos="800" w:leader="none"/>
              <w:tab w:val="right" w:pos="9350" w:leader="dot"/>
            </w:tabs>
            <w:rPr/>
          </w:pPr>
          <w:r>
            <w:rPr/>
            <w:t>13.1</w:t>
            <w:tab/>
            <w:t>Guaranty of Timely Completion</w:t>
            <w:tab/>
          </w:r>
          <w:hyperlink w:anchor="__RefHeading___Toc482936886">
            <w:r>
              <w:rPr>
                <w:rStyle w:val="IndexLink"/>
              </w:rPr>
              <w:t>42</w:t>
            </w:r>
          </w:hyperlink>
        </w:p>
        <w:p>
          <w:pPr>
            <w:pStyle w:val="TOC2"/>
            <w:tabs>
              <w:tab w:val="clear" w:pos="720"/>
              <w:tab w:val="left" w:pos="800" w:leader="none"/>
              <w:tab w:val="right" w:pos="9350" w:leader="dot"/>
            </w:tabs>
            <w:rPr/>
          </w:pPr>
          <w:r>
            <w:rPr/>
            <w:t>13.2</w:t>
            <w:tab/>
            <w:t>Completion</w:t>
            <w:tab/>
          </w:r>
          <w:hyperlink w:anchor="__RefHeading___Toc482936887">
            <w:r>
              <w:rPr>
                <w:rStyle w:val="IndexLink"/>
              </w:rPr>
              <w:t>42</w:t>
            </w:r>
          </w:hyperlink>
        </w:p>
        <w:p>
          <w:pPr>
            <w:pStyle w:val="TOC2"/>
            <w:tabs>
              <w:tab w:val="clear" w:pos="720"/>
              <w:tab w:val="left" w:pos="800" w:leader="none"/>
              <w:tab w:val="right" w:pos="9350" w:leader="dot"/>
            </w:tabs>
            <w:rPr/>
          </w:pPr>
          <w:r>
            <w:rPr/>
            <w:t>13.3</w:t>
            <w:tab/>
            <w:t>Delay Liquidated Damages</w:t>
            <w:tab/>
          </w:r>
          <w:hyperlink w:anchor="__RefHeading___Toc482936888">
            <w:r>
              <w:rPr>
                <w:rStyle w:val="IndexLink"/>
              </w:rPr>
              <w:t>42</w:t>
            </w:r>
          </w:hyperlink>
        </w:p>
        <w:p>
          <w:pPr>
            <w:pStyle w:val="TOC2"/>
            <w:tabs>
              <w:tab w:val="clear" w:pos="720"/>
              <w:tab w:val="left" w:pos="800" w:leader="none"/>
              <w:tab w:val="right" w:pos="9350" w:leader="dot"/>
            </w:tabs>
            <w:rPr/>
          </w:pPr>
          <w:r>
            <w:rPr/>
            <w:t>13.4</w:t>
            <w:tab/>
            <w:t>Performance Guaranties and Liquidated Damages</w:t>
            <w:tab/>
          </w:r>
          <w:hyperlink w:anchor="__RefHeading___Toc482936889">
            <w:r>
              <w:rPr>
                <w:rStyle w:val="IndexLink"/>
              </w:rPr>
              <w:t>42</w:t>
            </w:r>
          </w:hyperlink>
        </w:p>
        <w:p>
          <w:pPr>
            <w:pStyle w:val="TOC2"/>
            <w:tabs>
              <w:tab w:val="clear" w:pos="720"/>
              <w:tab w:val="left" w:pos="800" w:leader="none"/>
              <w:tab w:val="right" w:pos="9350" w:leader="dot"/>
            </w:tabs>
            <w:rPr/>
          </w:pPr>
          <w:r>
            <w:rPr/>
            <w:t>13.5</w:t>
            <w:tab/>
            <w:t>Performance Tests</w:t>
            <w:tab/>
          </w:r>
          <w:hyperlink w:anchor="__RefHeading___Toc482936890">
            <w:r>
              <w:rPr>
                <w:rStyle w:val="IndexLink"/>
              </w:rPr>
              <w:t>43</w:t>
            </w:r>
          </w:hyperlink>
        </w:p>
        <w:p>
          <w:pPr>
            <w:pStyle w:val="TOC2"/>
            <w:tabs>
              <w:tab w:val="clear" w:pos="720"/>
              <w:tab w:val="left" w:pos="800" w:leader="none"/>
              <w:tab w:val="right" w:pos="9350" w:leader="dot"/>
            </w:tabs>
            <w:rPr/>
          </w:pPr>
          <w:r>
            <w:rPr/>
            <w:t>13.6</w:t>
            <w:tab/>
            <w:t>Contractor’s Right to Improve Performance</w:t>
            <w:tab/>
          </w:r>
          <w:hyperlink w:anchor="__RefHeading___Toc482936891">
            <w:r>
              <w:rPr>
                <w:rStyle w:val="IndexLink"/>
              </w:rPr>
              <w:t>43</w:t>
            </w:r>
          </w:hyperlink>
        </w:p>
        <w:p>
          <w:pPr>
            <w:pStyle w:val="TOC1"/>
            <w:rPr/>
          </w:pPr>
          <w:r>
            <w:rPr/>
            <w:t>ARTICLE 14:  LIMITATION OF LIABILITY</w:t>
            <w:tab/>
          </w:r>
          <w:hyperlink w:anchor="__RefHeading___Toc482936892">
            <w:r>
              <w:rPr>
                <w:rStyle w:val="IndexLink"/>
              </w:rPr>
              <w:t>44</w:t>
            </w:r>
          </w:hyperlink>
        </w:p>
        <w:p>
          <w:pPr>
            <w:pStyle w:val="TOC2"/>
            <w:tabs>
              <w:tab w:val="clear" w:pos="720"/>
              <w:tab w:val="left" w:pos="800" w:leader="none"/>
              <w:tab w:val="right" w:pos="9350" w:leader="dot"/>
            </w:tabs>
            <w:rPr/>
          </w:pPr>
          <w:r>
            <w:rPr/>
            <w:t>14.1</w:t>
            <w:tab/>
            <w:t>Maximum Liability</w:t>
            <w:tab/>
          </w:r>
          <w:hyperlink w:anchor="__RefHeading___Toc482936893">
            <w:r>
              <w:rPr>
                <w:rStyle w:val="IndexLink"/>
              </w:rPr>
              <w:t>44</w:t>
            </w:r>
          </w:hyperlink>
        </w:p>
        <w:p>
          <w:pPr>
            <w:pStyle w:val="TOC2"/>
            <w:tabs>
              <w:tab w:val="clear" w:pos="720"/>
              <w:tab w:val="left" w:pos="800" w:leader="none"/>
              <w:tab w:val="right" w:pos="9350" w:leader="dot"/>
            </w:tabs>
            <w:rPr/>
          </w:pPr>
          <w:r>
            <w:rPr/>
            <w:t>14.2</w:t>
            <w:tab/>
            <w:t>Consequential Damages</w:t>
            <w:tab/>
          </w:r>
          <w:hyperlink w:anchor="__RefHeading___Toc482936894">
            <w:r>
              <w:rPr>
                <w:rStyle w:val="IndexLink"/>
              </w:rPr>
              <w:t>44</w:t>
            </w:r>
          </w:hyperlink>
        </w:p>
        <w:p>
          <w:pPr>
            <w:pStyle w:val="TOC2"/>
            <w:tabs>
              <w:tab w:val="clear" w:pos="720"/>
              <w:tab w:val="left" w:pos="800" w:leader="none"/>
              <w:tab w:val="right" w:pos="9350" w:leader="dot"/>
            </w:tabs>
            <w:rPr/>
          </w:pPr>
          <w:r>
            <w:rPr/>
            <w:t>14.3</w:t>
            <w:tab/>
            <w:t>Releases Valid in All Events</w:t>
            <w:tab/>
          </w:r>
          <w:hyperlink w:anchor="__RefHeading___Toc482936895">
            <w:r>
              <w:rPr>
                <w:rStyle w:val="IndexLink"/>
              </w:rPr>
              <w:t>44</w:t>
            </w:r>
          </w:hyperlink>
        </w:p>
        <w:p>
          <w:pPr>
            <w:pStyle w:val="TOC2"/>
            <w:tabs>
              <w:tab w:val="clear" w:pos="720"/>
              <w:tab w:val="left" w:pos="800" w:leader="none"/>
              <w:tab w:val="right" w:pos="9350" w:leader="dot"/>
            </w:tabs>
            <w:rPr/>
          </w:pPr>
          <w:r>
            <w:rPr/>
            <w:t>14.4</w:t>
            <w:tab/>
            <w:t>Liquidated Damages Not Penalty</w:t>
            <w:tab/>
          </w:r>
          <w:hyperlink w:anchor="__RefHeading___Toc482936896">
            <w:r>
              <w:rPr>
                <w:rStyle w:val="IndexLink"/>
              </w:rPr>
              <w:t>44</w:t>
            </w:r>
          </w:hyperlink>
        </w:p>
        <w:p>
          <w:pPr>
            <w:pStyle w:val="TOC1"/>
            <w:rPr/>
          </w:pPr>
          <w:r>
            <w:rPr/>
            <w:t>ARTICLE 15: REPRESENTATIONS OF CONTRACTOR AND OWNER</w:t>
            <w:tab/>
          </w:r>
          <w:hyperlink w:anchor="__RefHeading___Toc482936897">
            <w:r>
              <w:rPr>
                <w:rStyle w:val="IndexLink"/>
              </w:rPr>
              <w:t>45</w:t>
            </w:r>
          </w:hyperlink>
        </w:p>
        <w:p>
          <w:pPr>
            <w:pStyle w:val="TOC2"/>
            <w:tabs>
              <w:tab w:val="clear" w:pos="720"/>
              <w:tab w:val="left" w:pos="800" w:leader="none"/>
              <w:tab w:val="right" w:pos="9350" w:leader="dot"/>
            </w:tabs>
            <w:rPr/>
          </w:pPr>
          <w:r>
            <w:rPr/>
            <w:t>15.1</w:t>
            <w:tab/>
            <w:t>Contractor Representations</w:t>
            <w:tab/>
          </w:r>
          <w:hyperlink w:anchor="__RefHeading___Toc482936898">
            <w:r>
              <w:rPr>
                <w:rStyle w:val="IndexLink"/>
              </w:rPr>
              <w:t>45</w:t>
            </w:r>
          </w:hyperlink>
        </w:p>
        <w:p>
          <w:pPr>
            <w:pStyle w:val="TOC2"/>
            <w:tabs>
              <w:tab w:val="clear" w:pos="720"/>
              <w:tab w:val="left" w:pos="800" w:leader="none"/>
              <w:tab w:val="right" w:pos="9350" w:leader="dot"/>
            </w:tabs>
            <w:rPr/>
          </w:pPr>
          <w:r>
            <w:rPr/>
            <w:t>15.2</w:t>
            <w:tab/>
            <w:t>Owner Representations</w:t>
            <w:tab/>
          </w:r>
          <w:hyperlink w:anchor="__RefHeading___Toc482936899">
            <w:r>
              <w:rPr>
                <w:rStyle w:val="IndexLink"/>
              </w:rPr>
              <w:t>46</w:t>
            </w:r>
          </w:hyperlink>
        </w:p>
        <w:p>
          <w:pPr>
            <w:pStyle w:val="TOC1"/>
            <w:rPr/>
          </w:pPr>
          <w:r>
            <w:rPr/>
            <w:t>ARTICLE 16: DEFAULT, TERMINATION AND SUSPENSION</w:t>
            <w:tab/>
          </w:r>
          <w:hyperlink w:anchor="__RefHeading___Toc482936900">
            <w:r>
              <w:rPr>
                <w:rStyle w:val="IndexLink"/>
              </w:rPr>
              <w:t>47</w:t>
            </w:r>
          </w:hyperlink>
        </w:p>
        <w:p>
          <w:pPr>
            <w:pStyle w:val="TOC2"/>
            <w:tabs>
              <w:tab w:val="clear" w:pos="720"/>
              <w:tab w:val="left" w:pos="800" w:leader="none"/>
              <w:tab w:val="right" w:pos="9350" w:leader="dot"/>
            </w:tabs>
            <w:rPr/>
          </w:pPr>
          <w:r>
            <w:rPr/>
            <w:t>16.1</w:t>
            <w:tab/>
            <w:t>Default by Contractor</w:t>
            <w:tab/>
          </w:r>
          <w:hyperlink w:anchor="__RefHeading___Toc482936901">
            <w:r>
              <w:rPr>
                <w:rStyle w:val="IndexLink"/>
              </w:rPr>
              <w:t>47</w:t>
            </w:r>
          </w:hyperlink>
        </w:p>
        <w:p>
          <w:pPr>
            <w:pStyle w:val="TOC2"/>
            <w:tabs>
              <w:tab w:val="clear" w:pos="720"/>
              <w:tab w:val="left" w:pos="800" w:leader="none"/>
              <w:tab w:val="right" w:pos="9350" w:leader="dot"/>
            </w:tabs>
            <w:rPr/>
          </w:pPr>
          <w:r>
            <w:rPr/>
            <w:t>16.2</w:t>
            <w:tab/>
            <w:t>Optional Cancellation by Owner</w:t>
            <w:tab/>
          </w:r>
          <w:hyperlink w:anchor="__RefHeading___Toc482936902">
            <w:r>
              <w:rPr>
                <w:rStyle w:val="IndexLink"/>
              </w:rPr>
              <w:t>50</w:t>
            </w:r>
          </w:hyperlink>
        </w:p>
        <w:p>
          <w:pPr>
            <w:pStyle w:val="TOC2"/>
            <w:tabs>
              <w:tab w:val="clear" w:pos="720"/>
              <w:tab w:val="left" w:pos="800" w:leader="none"/>
              <w:tab w:val="right" w:pos="9350" w:leader="dot"/>
            </w:tabs>
            <w:rPr/>
          </w:pPr>
          <w:r>
            <w:rPr/>
            <w:t>16.3</w:t>
            <w:tab/>
            <w:t>Termination by Contractor</w:t>
            <w:tab/>
          </w:r>
          <w:hyperlink w:anchor="__RefHeading___Toc482936903">
            <w:r>
              <w:rPr>
                <w:rStyle w:val="IndexLink"/>
              </w:rPr>
              <w:t>51</w:t>
            </w:r>
          </w:hyperlink>
        </w:p>
        <w:p>
          <w:pPr>
            <w:pStyle w:val="TOC2"/>
            <w:tabs>
              <w:tab w:val="clear" w:pos="720"/>
              <w:tab w:val="left" w:pos="800" w:leader="none"/>
              <w:tab w:val="right" w:pos="9350" w:leader="dot"/>
            </w:tabs>
            <w:rPr/>
          </w:pPr>
          <w:r>
            <w:rPr/>
            <w:t>16.4</w:t>
            <w:tab/>
            <w:t>Suspension of Work</w:t>
            <w:tab/>
          </w:r>
          <w:hyperlink w:anchor="__RefHeading___Toc482936904">
            <w:r>
              <w:rPr>
                <w:rStyle w:val="IndexLink"/>
              </w:rPr>
              <w:t>52</w:t>
            </w:r>
          </w:hyperlink>
        </w:p>
        <w:p>
          <w:pPr>
            <w:pStyle w:val="TOC1"/>
            <w:rPr/>
          </w:pPr>
          <w:r>
            <w:rPr/>
            <w:t>ARTICLE 17:  FORCE MAJEURE</w:t>
            <w:tab/>
          </w:r>
          <w:hyperlink w:anchor="__RefHeading___Toc482936905">
            <w:r>
              <w:rPr>
                <w:rStyle w:val="IndexLink"/>
              </w:rPr>
              <w:t>53</w:t>
            </w:r>
          </w:hyperlink>
        </w:p>
        <w:p>
          <w:pPr>
            <w:pStyle w:val="TOC2"/>
            <w:tabs>
              <w:tab w:val="clear" w:pos="720"/>
              <w:tab w:val="left" w:pos="800" w:leader="none"/>
              <w:tab w:val="right" w:pos="9350" w:leader="dot"/>
            </w:tabs>
            <w:rPr/>
          </w:pPr>
          <w:r>
            <w:rPr/>
            <w:t>17.1</w:t>
            <w:tab/>
            <w:t>Excused Performance</w:t>
            <w:tab/>
          </w:r>
          <w:hyperlink w:anchor="__RefHeading___Toc482936906">
            <w:r>
              <w:rPr>
                <w:rStyle w:val="IndexLink"/>
              </w:rPr>
              <w:t>53</w:t>
            </w:r>
          </w:hyperlink>
        </w:p>
        <w:p>
          <w:pPr>
            <w:pStyle w:val="TOC2"/>
            <w:tabs>
              <w:tab w:val="clear" w:pos="720"/>
              <w:tab w:val="left" w:pos="800" w:leader="none"/>
              <w:tab w:val="right" w:pos="9350" w:leader="dot"/>
            </w:tabs>
            <w:rPr/>
          </w:pPr>
          <w:r>
            <w:rPr/>
            <w:t>17.2</w:t>
            <w:tab/>
            <w:t>Burden of Proof</w:t>
            <w:tab/>
          </w:r>
          <w:hyperlink w:anchor="__RefHeading___Toc482936907">
            <w:r>
              <w:rPr>
                <w:rStyle w:val="IndexLink"/>
              </w:rPr>
              <w:t>54</w:t>
            </w:r>
          </w:hyperlink>
        </w:p>
        <w:p>
          <w:pPr>
            <w:pStyle w:val="TOC2"/>
            <w:tabs>
              <w:tab w:val="clear" w:pos="720"/>
              <w:tab w:val="left" w:pos="800" w:leader="none"/>
              <w:tab w:val="right" w:pos="9350" w:leader="dot"/>
            </w:tabs>
            <w:rPr/>
          </w:pPr>
          <w:r>
            <w:rPr/>
            <w:t>17.3</w:t>
            <w:tab/>
            <w:t>Owner Self-Help</w:t>
            <w:tab/>
          </w:r>
          <w:hyperlink w:anchor="__RefHeading___Toc482936908">
            <w:r>
              <w:rPr>
                <w:rStyle w:val="IndexLink"/>
              </w:rPr>
              <w:t>54</w:t>
            </w:r>
          </w:hyperlink>
        </w:p>
        <w:p>
          <w:pPr>
            <w:pStyle w:val="TOC1"/>
            <w:rPr/>
          </w:pPr>
          <w:r>
            <w:rPr/>
            <w:t>ARTICLE 18:  INDEMNITIES</w:t>
            <w:tab/>
          </w:r>
          <w:hyperlink w:anchor="__RefHeading___Toc482936909">
            <w:r>
              <w:rPr>
                <w:rStyle w:val="IndexLink"/>
              </w:rPr>
              <w:t>54</w:t>
            </w:r>
          </w:hyperlink>
        </w:p>
        <w:p>
          <w:pPr>
            <w:pStyle w:val="TOC2"/>
            <w:tabs>
              <w:tab w:val="clear" w:pos="720"/>
              <w:tab w:val="left" w:pos="800" w:leader="none"/>
              <w:tab w:val="right" w:pos="9350" w:leader="dot"/>
            </w:tabs>
            <w:rPr/>
          </w:pPr>
          <w:r>
            <w:rPr/>
            <w:t>18.1</w:t>
            <w:tab/>
            <w:t>Contractor Indemnity</w:t>
            <w:tab/>
          </w:r>
          <w:hyperlink w:anchor="__RefHeading___Toc482936910">
            <w:r>
              <w:rPr>
                <w:rStyle w:val="IndexLink"/>
              </w:rPr>
              <w:t>54</w:t>
            </w:r>
          </w:hyperlink>
        </w:p>
        <w:p>
          <w:pPr>
            <w:pStyle w:val="TOC2"/>
            <w:tabs>
              <w:tab w:val="clear" w:pos="720"/>
              <w:tab w:val="left" w:pos="800" w:leader="none"/>
              <w:tab w:val="right" w:pos="9350" w:leader="dot"/>
            </w:tabs>
            <w:rPr/>
          </w:pPr>
          <w:r>
            <w:rPr/>
            <w:t>18.2</w:t>
            <w:tab/>
            <w:t>Owner Indemnity</w:t>
            <w:tab/>
          </w:r>
          <w:hyperlink w:anchor="__RefHeading___Toc482936911">
            <w:r>
              <w:rPr>
                <w:rStyle w:val="IndexLink"/>
              </w:rPr>
              <w:t>54</w:t>
            </w:r>
          </w:hyperlink>
        </w:p>
        <w:p>
          <w:pPr>
            <w:pStyle w:val="TOC2"/>
            <w:tabs>
              <w:tab w:val="clear" w:pos="720"/>
              <w:tab w:val="left" w:pos="800" w:leader="none"/>
              <w:tab w:val="right" w:pos="9350" w:leader="dot"/>
            </w:tabs>
            <w:rPr/>
          </w:pPr>
          <w:r>
            <w:rPr/>
            <w:t>18.3</w:t>
            <w:tab/>
            <w:t>Intellectual Property Indemnity</w:t>
            <w:tab/>
          </w:r>
          <w:hyperlink w:anchor="__RefHeading___Toc482936912">
            <w:r>
              <w:rPr>
                <w:rStyle w:val="IndexLink"/>
              </w:rPr>
              <w:t>55</w:t>
            </w:r>
          </w:hyperlink>
        </w:p>
        <w:p>
          <w:pPr>
            <w:pStyle w:val="TOC2"/>
            <w:tabs>
              <w:tab w:val="clear" w:pos="720"/>
              <w:tab w:val="left" w:pos="800" w:leader="none"/>
              <w:tab w:val="right" w:pos="9350" w:leader="dot"/>
            </w:tabs>
            <w:rPr/>
          </w:pPr>
          <w:r>
            <w:rPr/>
            <w:t>18.4</w:t>
            <w:tab/>
            <w:t>Notice</w:t>
            <w:tab/>
          </w:r>
          <w:hyperlink w:anchor="__RefHeading___Toc482936913">
            <w:r>
              <w:rPr>
                <w:rStyle w:val="IndexLink"/>
              </w:rPr>
              <w:t>55</w:t>
            </w:r>
          </w:hyperlink>
        </w:p>
        <w:p>
          <w:pPr>
            <w:pStyle w:val="TOC2"/>
            <w:tabs>
              <w:tab w:val="clear" w:pos="720"/>
              <w:tab w:val="left" w:pos="800" w:leader="none"/>
              <w:tab w:val="right" w:pos="9350" w:leader="dot"/>
            </w:tabs>
            <w:rPr/>
          </w:pPr>
          <w:r>
            <w:rPr/>
            <w:t>18.5</w:t>
            <w:tab/>
            <w:t>Defense of Claims</w:t>
            <w:tab/>
          </w:r>
          <w:hyperlink w:anchor="__RefHeading___Toc482936914">
            <w:r>
              <w:rPr>
                <w:rStyle w:val="IndexLink"/>
              </w:rPr>
              <w:t>55</w:t>
            </w:r>
          </w:hyperlink>
        </w:p>
        <w:p>
          <w:pPr>
            <w:pStyle w:val="TOC1"/>
            <w:rPr/>
          </w:pPr>
          <w:r>
            <w:rPr/>
            <w:t>ARTICLE 19:  DISPUTE RESOLUTION</w:t>
            <w:tab/>
          </w:r>
          <w:hyperlink w:anchor="__RefHeading___Toc482936915">
            <w:r>
              <w:rPr>
                <w:rStyle w:val="IndexLink"/>
              </w:rPr>
              <w:t>56</w:t>
            </w:r>
          </w:hyperlink>
        </w:p>
        <w:p>
          <w:pPr>
            <w:pStyle w:val="TOC2"/>
            <w:tabs>
              <w:tab w:val="clear" w:pos="720"/>
              <w:tab w:val="left" w:pos="800" w:leader="none"/>
              <w:tab w:val="right" w:pos="9350" w:leader="dot"/>
            </w:tabs>
            <w:rPr/>
          </w:pPr>
          <w:r>
            <w:rPr/>
            <w:t>19.1</w:t>
            <w:tab/>
            <w:t>Standard Resolution Procedure</w:t>
            <w:tab/>
          </w:r>
          <w:hyperlink w:anchor="__RefHeading___Toc482936916">
            <w:r>
              <w:rPr>
                <w:rStyle w:val="IndexLink"/>
              </w:rPr>
              <w:t>56</w:t>
            </w:r>
          </w:hyperlink>
        </w:p>
        <w:p>
          <w:pPr>
            <w:pStyle w:val="TOC2"/>
            <w:tabs>
              <w:tab w:val="clear" w:pos="720"/>
              <w:tab w:val="left" w:pos="800" w:leader="none"/>
              <w:tab w:val="right" w:pos="9350" w:leader="dot"/>
            </w:tabs>
            <w:rPr/>
          </w:pPr>
          <w:r>
            <w:rPr/>
            <w:t>19.2</w:t>
            <w:tab/>
            <w:t>Fast</w:t>
            <w:noBreakHyphen/>
            <w:t>Track Arbitration</w:t>
            <w:tab/>
          </w:r>
          <w:hyperlink w:anchor="__RefHeading___Toc482936917">
            <w:r>
              <w:rPr>
                <w:rStyle w:val="IndexLink"/>
              </w:rPr>
              <w:t>56</w:t>
            </w:r>
          </w:hyperlink>
        </w:p>
        <w:p>
          <w:pPr>
            <w:pStyle w:val="TOC2"/>
            <w:tabs>
              <w:tab w:val="clear" w:pos="720"/>
              <w:tab w:val="left" w:pos="800" w:leader="none"/>
              <w:tab w:val="right" w:pos="9350" w:leader="dot"/>
            </w:tabs>
            <w:rPr/>
          </w:pPr>
          <w:r>
            <w:rPr/>
            <w:t>19.3</w:t>
            <w:tab/>
            <w:t>Applicable Law and Arbitration Act</w:t>
            <w:tab/>
          </w:r>
          <w:hyperlink w:anchor="__RefHeading___Toc482936918">
            <w:r>
              <w:rPr>
                <w:rStyle w:val="IndexLink"/>
              </w:rPr>
              <w:t>57</w:t>
            </w:r>
          </w:hyperlink>
        </w:p>
        <w:p>
          <w:pPr>
            <w:pStyle w:val="TOC2"/>
            <w:tabs>
              <w:tab w:val="clear" w:pos="720"/>
              <w:tab w:val="left" w:pos="800" w:leader="none"/>
              <w:tab w:val="right" w:pos="9350" w:leader="dot"/>
            </w:tabs>
            <w:rPr/>
          </w:pPr>
          <w:r>
            <w:rPr/>
            <w:t>19.4</w:t>
            <w:tab/>
            <w:t>Continuation of Services</w:t>
            <w:tab/>
          </w:r>
          <w:hyperlink w:anchor="__RefHeading___Toc482936919">
            <w:r>
              <w:rPr>
                <w:rStyle w:val="IndexLink"/>
              </w:rPr>
              <w:t>57</w:t>
            </w:r>
          </w:hyperlink>
        </w:p>
        <w:p>
          <w:pPr>
            <w:pStyle w:val="TOC1"/>
            <w:rPr/>
          </w:pPr>
          <w:r>
            <w:rPr/>
            <w:t>ARTICLE 20:  CONFIDENTIAL INFORMATION</w:t>
            <w:tab/>
          </w:r>
          <w:hyperlink w:anchor="__RefHeading___Toc482936920">
            <w:r>
              <w:rPr>
                <w:rStyle w:val="IndexLink"/>
              </w:rPr>
              <w:t>57</w:t>
            </w:r>
          </w:hyperlink>
        </w:p>
        <w:p>
          <w:pPr>
            <w:pStyle w:val="TOC2"/>
            <w:tabs>
              <w:tab w:val="clear" w:pos="720"/>
              <w:tab w:val="left" w:pos="800" w:leader="none"/>
              <w:tab w:val="right" w:pos="9350" w:leader="dot"/>
            </w:tabs>
            <w:rPr/>
          </w:pPr>
          <w:r>
            <w:rPr/>
            <w:t>20.1</w:t>
            <w:tab/>
            <w:t>Confidential Information</w:t>
            <w:tab/>
          </w:r>
          <w:hyperlink w:anchor="__RefHeading___Toc482936921">
            <w:r>
              <w:rPr>
                <w:rStyle w:val="IndexLink"/>
              </w:rPr>
              <w:t>57</w:t>
            </w:r>
          </w:hyperlink>
        </w:p>
        <w:p>
          <w:pPr>
            <w:pStyle w:val="TOC2"/>
            <w:tabs>
              <w:tab w:val="clear" w:pos="720"/>
              <w:tab w:val="left" w:pos="800" w:leader="none"/>
              <w:tab w:val="right" w:pos="9350" w:leader="dot"/>
            </w:tabs>
            <w:rPr/>
          </w:pPr>
          <w:r>
            <w:rPr/>
            <w:t>20.2</w:t>
            <w:tab/>
            <w:t>Notice Preceding Compelled Disclosure</w:t>
            <w:tab/>
          </w:r>
          <w:hyperlink w:anchor="__RefHeading___Toc482936922">
            <w:r>
              <w:rPr>
                <w:rStyle w:val="IndexLink"/>
              </w:rPr>
              <w:t>57</w:t>
            </w:r>
          </w:hyperlink>
        </w:p>
        <w:p>
          <w:pPr>
            <w:pStyle w:val="TOC2"/>
            <w:tabs>
              <w:tab w:val="clear" w:pos="720"/>
              <w:tab w:val="left" w:pos="800" w:leader="none"/>
              <w:tab w:val="right" w:pos="9350" w:leader="dot"/>
            </w:tabs>
            <w:rPr/>
          </w:pPr>
          <w:r>
            <w:rPr/>
            <w:t>20.3</w:t>
            <w:tab/>
            <w:t>Definition of Confidential Information</w:t>
            <w:tab/>
          </w:r>
          <w:hyperlink w:anchor="__RefHeading___Toc482936923">
            <w:r>
              <w:rPr>
                <w:rStyle w:val="IndexLink"/>
              </w:rPr>
              <w:t>58</w:t>
            </w:r>
          </w:hyperlink>
        </w:p>
        <w:p>
          <w:pPr>
            <w:pStyle w:val="TOC2"/>
            <w:tabs>
              <w:tab w:val="clear" w:pos="720"/>
              <w:tab w:val="left" w:pos="800" w:leader="none"/>
              <w:tab w:val="right" w:pos="9350" w:leader="dot"/>
            </w:tabs>
            <w:rPr/>
          </w:pPr>
          <w:r>
            <w:rPr/>
            <w:t>20.4</w:t>
            <w:tab/>
            <w:t>Remedies</w:t>
            <w:tab/>
          </w:r>
          <w:hyperlink w:anchor="__RefHeading___Toc482936924">
            <w:r>
              <w:rPr>
                <w:rStyle w:val="IndexLink"/>
              </w:rPr>
              <w:t>58</w:t>
            </w:r>
          </w:hyperlink>
        </w:p>
        <w:p>
          <w:pPr>
            <w:pStyle w:val="TOC1"/>
            <w:rPr/>
          </w:pPr>
          <w:r>
            <w:rPr/>
            <w:t>ARTICLE 21:  SECURITY</w:t>
            <w:tab/>
          </w:r>
          <w:hyperlink w:anchor="__RefHeading___Toc482936925">
            <w:r>
              <w:rPr>
                <w:rStyle w:val="IndexLink"/>
              </w:rPr>
              <w:t>58</w:t>
            </w:r>
          </w:hyperlink>
        </w:p>
        <w:p>
          <w:pPr>
            <w:pStyle w:val="TOC2"/>
            <w:tabs>
              <w:tab w:val="clear" w:pos="720"/>
              <w:tab w:val="left" w:pos="800" w:leader="none"/>
              <w:tab w:val="right" w:pos="9350" w:leader="dot"/>
            </w:tabs>
            <w:rPr/>
          </w:pPr>
          <w:r>
            <w:rPr/>
            <w:t>21.1</w:t>
            <w:tab/>
            <w:t>Retention Bond</w:t>
            <w:tab/>
          </w:r>
          <w:hyperlink w:anchor="__RefHeading___Toc482936926">
            <w:r>
              <w:rPr>
                <w:rStyle w:val="IndexLink"/>
              </w:rPr>
              <w:t>58</w:t>
            </w:r>
          </w:hyperlink>
        </w:p>
        <w:p>
          <w:pPr>
            <w:pStyle w:val="TOC2"/>
            <w:tabs>
              <w:tab w:val="clear" w:pos="720"/>
              <w:tab w:val="left" w:pos="800" w:leader="none"/>
              <w:tab w:val="right" w:pos="9350" w:leader="dot"/>
            </w:tabs>
            <w:rPr/>
          </w:pPr>
          <w:r>
            <w:rPr/>
            <w:t>21.2</w:t>
            <w:tab/>
            <w:t>Parent Guaranty</w:t>
            <w:tab/>
          </w:r>
          <w:hyperlink w:anchor="__RefHeading___Toc482936927">
            <w:r>
              <w:rPr>
                <w:rStyle w:val="IndexLink"/>
              </w:rPr>
              <w:t>58</w:t>
            </w:r>
          </w:hyperlink>
        </w:p>
        <w:p>
          <w:pPr>
            <w:pStyle w:val="TOC1"/>
            <w:rPr/>
          </w:pPr>
          <w:r>
            <w:rPr/>
            <w:t>ARTICLE 22:  MISCELLANEOUS PROVISIONS</w:t>
            <w:tab/>
          </w:r>
          <w:hyperlink w:anchor="__RefHeading___Toc482936928">
            <w:r>
              <w:rPr>
                <w:rStyle w:val="IndexLink"/>
              </w:rPr>
              <w:t>59</w:t>
            </w:r>
          </w:hyperlink>
        </w:p>
        <w:p>
          <w:pPr>
            <w:pStyle w:val="TOC2"/>
            <w:tabs>
              <w:tab w:val="clear" w:pos="720"/>
              <w:tab w:val="left" w:pos="800" w:leader="none"/>
              <w:tab w:val="right" w:pos="9350" w:leader="dot"/>
            </w:tabs>
            <w:rPr/>
          </w:pPr>
          <w:r>
            <w:rPr/>
            <w:t>22.1</w:t>
            <w:tab/>
            <w:t>Governing Law</w:t>
            <w:tab/>
          </w:r>
          <w:hyperlink w:anchor="__RefHeading___Toc482936929">
            <w:r>
              <w:rPr>
                <w:rStyle w:val="IndexLink"/>
              </w:rPr>
              <w:t>59</w:t>
            </w:r>
          </w:hyperlink>
        </w:p>
        <w:p>
          <w:pPr>
            <w:pStyle w:val="TOC2"/>
            <w:tabs>
              <w:tab w:val="clear" w:pos="720"/>
              <w:tab w:val="left" w:pos="800" w:leader="none"/>
              <w:tab w:val="right" w:pos="9350" w:leader="dot"/>
            </w:tabs>
            <w:rPr/>
          </w:pPr>
          <w:r>
            <w:rPr/>
            <w:t>22.2</w:t>
            <w:tab/>
            <w:t>Notice</w:t>
            <w:tab/>
          </w:r>
          <w:hyperlink w:anchor="__RefHeading___Toc482936930">
            <w:r>
              <w:rPr>
                <w:rStyle w:val="IndexLink"/>
              </w:rPr>
              <w:t>59</w:t>
            </w:r>
          </w:hyperlink>
        </w:p>
        <w:p>
          <w:pPr>
            <w:pStyle w:val="TOC2"/>
            <w:tabs>
              <w:tab w:val="clear" w:pos="720"/>
              <w:tab w:val="left" w:pos="800" w:leader="none"/>
              <w:tab w:val="right" w:pos="9350" w:leader="dot"/>
            </w:tabs>
            <w:rPr/>
          </w:pPr>
          <w:r>
            <w:rPr/>
            <w:t>22.3</w:t>
            <w:tab/>
            <w:t>Assignment</w:t>
            <w:tab/>
          </w:r>
          <w:hyperlink w:anchor="__RefHeading___Toc482936931">
            <w:r>
              <w:rPr>
                <w:rStyle w:val="IndexLink"/>
              </w:rPr>
              <w:t>60</w:t>
            </w:r>
          </w:hyperlink>
        </w:p>
        <w:p>
          <w:pPr>
            <w:pStyle w:val="TOC2"/>
            <w:tabs>
              <w:tab w:val="clear" w:pos="720"/>
              <w:tab w:val="left" w:pos="800" w:leader="none"/>
              <w:tab w:val="right" w:pos="9350" w:leader="dot"/>
            </w:tabs>
            <w:rPr/>
          </w:pPr>
          <w:r>
            <w:rPr/>
            <w:t>22.4</w:t>
            <w:tab/>
            <w:t>Miscellaneous</w:t>
            <w:tab/>
          </w:r>
          <w:hyperlink w:anchor="__RefHeading___Toc482936932">
            <w:r>
              <w:rPr>
                <w:rStyle w:val="IndexLink"/>
              </w:rPr>
              <w:t>60</w:t>
            </w:r>
          </w:hyperlink>
          <w:r>
            <w:rPr>
              <w:rStyle w:val="IndexLink"/>
            </w:rPr>
            <w:fldChar w:fldCharType="end"/>
          </w:r>
        </w:p>
      </w:sdtContent>
    </w:sdt>
    <w:p>
      <w:pPr>
        <w:pStyle w:val="Normal"/>
        <w:jc w:val="both"/>
        <w:rPr>
          <w:rFonts w:ascii="Arial" w:hAnsi="Arial" w:cs="Arial"/>
          <w:b/>
          <w:sz w:val="24"/>
          <w:lang w:val="en-US"/>
        </w:rPr>
      </w:pPr>
      <w:r>
        <w:rPr>
          <w:rFonts w:cs="Arial" w:ascii="Arial" w:hAnsi="Arial"/>
          <w:b/>
          <w:sz w:val="24"/>
          <w:lang w:val="en-US"/>
        </w:rPr>
      </w:r>
      <w:r>
        <w:br w:type="page"/>
      </w:r>
    </w:p>
    <w:p>
      <w:pPr>
        <w:pStyle w:val="Normal"/>
        <w:jc w:val="both"/>
        <w:rPr>
          <w:lang w:val="en-US"/>
        </w:rPr>
      </w:pPr>
      <w:r>
        <w:rPr>
          <w:u w:val="single"/>
          <w:lang w:val="en-US"/>
        </w:rPr>
        <w:t>EXHIBIT LIST</w:t>
      </w:r>
    </w:p>
    <w:p>
      <w:pPr>
        <w:pStyle w:val="Normal"/>
        <w:jc w:val="both"/>
        <w:rPr>
          <w:lang w:val="en-US"/>
        </w:rPr>
      </w:pPr>
      <w:r>
        <w:rPr>
          <w:lang w:val="en-US"/>
        </w:rPr>
      </w:r>
    </w:p>
    <w:p>
      <w:pPr>
        <w:pStyle w:val="Normal"/>
        <w:jc w:val="both"/>
        <w:rPr>
          <w:lang w:val="en-US"/>
        </w:rPr>
      </w:pPr>
      <w:r>
        <w:rPr>
          <w:lang w:val="en-US"/>
        </w:rPr>
        <w:t>Exhibit A</w:t>
        <w:tab/>
        <w:t xml:space="preserve">- Project Schedule </w:t>
      </w:r>
    </w:p>
    <w:p>
      <w:pPr>
        <w:pStyle w:val="Normal"/>
        <w:jc w:val="both"/>
        <w:rPr>
          <w:lang w:val="en-US"/>
        </w:rPr>
      </w:pPr>
      <w:r>
        <w:rPr>
          <w:lang w:val="en-US"/>
        </w:rPr>
        <w:t>Exhibit B-1</w:t>
        <w:tab/>
        <w:t>- Scope of Work, Specifications and Site Location Map</w:t>
      </w:r>
    </w:p>
    <w:p>
      <w:pPr>
        <w:pStyle w:val="Normal"/>
        <w:jc w:val="both"/>
        <w:rPr>
          <w:lang w:val="en-US"/>
        </w:rPr>
      </w:pPr>
      <w:r>
        <w:rPr>
          <w:lang w:val="en-US"/>
        </w:rPr>
        <w:t>Exhibit B-2</w:t>
        <w:tab/>
        <w:t>- Scope Clarifications and Assumptions</w:t>
      </w:r>
    </w:p>
    <w:p>
      <w:pPr>
        <w:pStyle w:val="Normal"/>
        <w:jc w:val="both"/>
        <w:rPr>
          <w:lang w:val="en-US"/>
        </w:rPr>
      </w:pPr>
      <w:r>
        <w:rPr>
          <w:lang w:val="en-US"/>
        </w:rPr>
        <w:t>Exhibit B-3</w:t>
        <w:tab/>
        <w:t>- Not Used</w:t>
      </w:r>
    </w:p>
    <w:p>
      <w:pPr>
        <w:pStyle w:val="Normal"/>
        <w:jc w:val="both"/>
        <w:rPr>
          <w:lang w:val="en-US"/>
        </w:rPr>
      </w:pPr>
      <w:r>
        <w:rPr>
          <w:lang w:val="en-US"/>
        </w:rPr>
      </w:r>
    </w:p>
    <w:p>
      <w:pPr>
        <w:pStyle w:val="Normal"/>
        <w:jc w:val="both"/>
        <w:rPr>
          <w:lang w:val="en-US"/>
        </w:rPr>
      </w:pPr>
      <w:r>
        <w:rPr>
          <w:lang w:val="en-US"/>
        </w:rPr>
        <w:t>Exhibit B-4</w:t>
        <w:tab/>
        <w:t>- Pre-Notice to Proceed Scope of Work</w:t>
      </w:r>
    </w:p>
    <w:p>
      <w:pPr>
        <w:pStyle w:val="Normal"/>
        <w:jc w:val="both"/>
        <w:rPr>
          <w:lang w:val="en-US"/>
        </w:rPr>
      </w:pPr>
      <w:r>
        <w:rPr>
          <w:lang w:val="en-US"/>
        </w:rPr>
        <w:t>Exhibit C-1</w:t>
        <w:tab/>
        <w:t>- Contract Price</w:t>
      </w:r>
    </w:p>
    <w:p>
      <w:pPr>
        <w:pStyle w:val="Normal"/>
        <w:jc w:val="both"/>
        <w:rPr>
          <w:lang w:val="en-US"/>
        </w:rPr>
      </w:pPr>
      <w:r>
        <w:rPr>
          <w:lang w:val="en-US"/>
        </w:rPr>
        <w:t>Exhibit C-2</w:t>
        <w:tab/>
        <w:t>- Milestone Payment Schedule</w:t>
      </w:r>
    </w:p>
    <w:p>
      <w:pPr>
        <w:pStyle w:val="Normal"/>
        <w:jc w:val="both"/>
        <w:rPr>
          <w:lang w:val="en-US"/>
        </w:rPr>
      </w:pPr>
      <w:r>
        <w:rPr>
          <w:lang w:val="en-US"/>
        </w:rPr>
        <w:t>Exhibit C-3</w:t>
        <w:tab/>
        <w:t>- Contract Price Escalation</w:t>
      </w:r>
    </w:p>
    <w:p>
      <w:pPr>
        <w:pStyle w:val="Normal"/>
        <w:jc w:val="both"/>
        <w:rPr>
          <w:lang w:val="en-US"/>
        </w:rPr>
      </w:pPr>
      <w:r>
        <w:rPr>
          <w:lang w:val="en-US"/>
        </w:rPr>
        <w:t>Exhibit C-4</w:t>
        <w:tab/>
        <w:t>- Liquidated Damages</w:t>
      </w:r>
    </w:p>
    <w:p>
      <w:pPr>
        <w:pStyle w:val="Normal"/>
        <w:jc w:val="both"/>
        <w:rPr>
          <w:lang w:val="en-US"/>
        </w:rPr>
      </w:pPr>
      <w:r>
        <w:rPr>
          <w:lang w:val="en-US"/>
        </w:rPr>
        <w:t>Exhibit C-5</w:t>
        <w:tab/>
        <w:t>- Form of Invoice</w:t>
      </w:r>
    </w:p>
    <w:p>
      <w:pPr>
        <w:pStyle w:val="Normal"/>
        <w:jc w:val="both"/>
        <w:rPr>
          <w:lang w:val="en-US"/>
        </w:rPr>
      </w:pPr>
      <w:r>
        <w:rPr>
          <w:lang w:val="en-US"/>
        </w:rPr>
        <w:t>Exhibit C-6</w:t>
        <w:tab/>
        <w:t>- Cancellation Fees</w:t>
      </w:r>
    </w:p>
    <w:p>
      <w:pPr>
        <w:pStyle w:val="Normal"/>
        <w:jc w:val="both"/>
        <w:rPr>
          <w:lang w:val="en-US"/>
        </w:rPr>
      </w:pPr>
      <w:r>
        <w:rPr>
          <w:lang w:val="en-US"/>
        </w:rPr>
        <w:t>Exhibit C-7</w:t>
        <w:tab/>
        <w:t>- Taxes and Fees</w:t>
      </w:r>
    </w:p>
    <w:p>
      <w:pPr>
        <w:pStyle w:val="Normal"/>
        <w:jc w:val="both"/>
        <w:rPr>
          <w:lang w:val="en-US"/>
        </w:rPr>
      </w:pPr>
      <w:r>
        <w:rPr>
          <w:lang w:val="en-US"/>
        </w:rPr>
        <w:t>Exhibit D-1</w:t>
        <w:tab/>
        <w:t>- Form of Lien Waiver</w:t>
      </w:r>
    </w:p>
    <w:p>
      <w:pPr>
        <w:pStyle w:val="Normal"/>
        <w:jc w:val="both"/>
        <w:rPr>
          <w:lang w:val="en-US"/>
        </w:rPr>
      </w:pPr>
      <w:r>
        <w:rPr>
          <w:lang w:val="en-US"/>
        </w:rPr>
        <w:t>Exhibit D-2</w:t>
        <w:tab/>
        <w:t>- Form of Waiver of Liens and Claims (Final Release)</w:t>
      </w:r>
    </w:p>
    <w:p>
      <w:pPr>
        <w:pStyle w:val="Normal"/>
        <w:jc w:val="both"/>
        <w:rPr>
          <w:lang w:val="en-US"/>
        </w:rPr>
      </w:pPr>
      <w:r>
        <w:rPr>
          <w:lang w:val="en-US"/>
        </w:rPr>
        <w:t>Exhibit E-1</w:t>
        <w:tab/>
        <w:t>- Guaranties</w:t>
      </w:r>
    </w:p>
    <w:p>
      <w:pPr>
        <w:pStyle w:val="Normal"/>
        <w:jc w:val="both"/>
        <w:rPr>
          <w:lang w:val="en-US"/>
        </w:rPr>
      </w:pPr>
      <w:r>
        <w:rPr>
          <w:lang w:val="en-US"/>
        </w:rPr>
        <w:t>Exhibit E-2</w:t>
        <w:tab/>
        <w:t>- Basis Conditions</w:t>
      </w:r>
    </w:p>
    <w:p>
      <w:pPr>
        <w:pStyle w:val="Normal"/>
        <w:jc w:val="both"/>
        <w:rPr>
          <w:lang w:val="en-US"/>
        </w:rPr>
      </w:pPr>
      <w:r>
        <w:rPr>
          <w:lang w:val="en-US"/>
        </w:rPr>
        <w:t>Exhibit E-3</w:t>
        <w:tab/>
        <w:t>- Testing Guidelines</w:t>
      </w:r>
    </w:p>
    <w:p>
      <w:pPr>
        <w:pStyle w:val="Normal"/>
        <w:jc w:val="both"/>
        <w:rPr>
          <w:lang w:val="en-US"/>
        </w:rPr>
      </w:pPr>
      <w:r>
        <w:rPr>
          <w:lang w:val="en-US"/>
        </w:rPr>
        <w:t>Exhibit F</w:t>
        <w:tab/>
        <w:t>- Change Order Pricing</w:t>
      </w:r>
    </w:p>
    <w:p>
      <w:pPr>
        <w:pStyle w:val="Normal"/>
        <w:jc w:val="both"/>
        <w:rPr>
          <w:lang w:val="en-US"/>
        </w:rPr>
      </w:pPr>
      <w:r>
        <w:rPr>
          <w:lang w:val="en-US"/>
        </w:rPr>
        <w:t>Exhibit G-1</w:t>
        <w:tab/>
        <w:t>- Project Agreements</w:t>
      </w:r>
    </w:p>
    <w:p>
      <w:pPr>
        <w:pStyle w:val="Normal"/>
        <w:jc w:val="both"/>
        <w:rPr>
          <w:lang w:val="en-US"/>
        </w:rPr>
      </w:pPr>
      <w:r>
        <w:rPr>
          <w:lang w:val="en-US"/>
        </w:rPr>
        <w:t>Exhibit G-2</w:t>
        <w:tab/>
        <w:t>- Change in Law</w:t>
      </w:r>
    </w:p>
    <w:p>
      <w:pPr>
        <w:pStyle w:val="Normal"/>
        <w:jc w:val="both"/>
        <w:rPr>
          <w:lang w:val="en-US"/>
        </w:rPr>
      </w:pPr>
      <w:r>
        <w:rPr>
          <w:lang w:val="en-US"/>
        </w:rPr>
        <w:t>Exhibit G-3</w:t>
        <w:tab/>
        <w:t>- Force Majeure</w:t>
      </w:r>
    </w:p>
    <w:p>
      <w:pPr>
        <w:pStyle w:val="Normal"/>
        <w:jc w:val="both"/>
        <w:rPr>
          <w:lang w:val="en-US"/>
        </w:rPr>
      </w:pPr>
      <w:r>
        <w:rPr>
          <w:lang w:val="en-US"/>
        </w:rPr>
        <w:t>Exhibit H-1</w:t>
        <w:tab/>
        <w:t>- Contractor Insurance</w:t>
      </w:r>
    </w:p>
    <w:p>
      <w:pPr>
        <w:pStyle w:val="Normal"/>
        <w:jc w:val="both"/>
        <w:rPr>
          <w:lang w:val="en-US"/>
        </w:rPr>
      </w:pPr>
      <w:r>
        <w:rPr>
          <w:lang w:val="en-US"/>
        </w:rPr>
        <w:t>Exhibit H-2</w:t>
        <w:tab/>
        <w:t>- Owner Insurance</w:t>
      </w:r>
    </w:p>
    <w:p>
      <w:pPr>
        <w:pStyle w:val="Normal"/>
        <w:jc w:val="both"/>
        <w:rPr>
          <w:lang w:val="en-US"/>
        </w:rPr>
      </w:pPr>
      <w:r>
        <w:rPr>
          <w:lang w:val="en-US"/>
        </w:rPr>
        <w:t>Exhibit I</w:t>
        <w:tab/>
        <w:tab/>
        <w:t>- Dames &amp; Moore Geotechnical Report</w:t>
      </w:r>
    </w:p>
    <w:p>
      <w:pPr>
        <w:pStyle w:val="Normal"/>
        <w:jc w:val="both"/>
        <w:rPr>
          <w:lang w:val="en-US"/>
        </w:rPr>
      </w:pPr>
      <w:r>
        <w:rPr>
          <w:lang w:val="en-US"/>
        </w:rPr>
        <w:t>Exhibit J-1</w:t>
        <w:tab/>
        <w:t>- Sample Provisional Acceptance Certificate</w:t>
      </w:r>
    </w:p>
    <w:p>
      <w:pPr>
        <w:pStyle w:val="Normal"/>
        <w:jc w:val="both"/>
        <w:rPr>
          <w:lang w:val="en-US"/>
        </w:rPr>
      </w:pPr>
      <w:r>
        <w:rPr>
          <w:lang w:val="en-US"/>
        </w:rPr>
        <w:t>Exhibit J-2</w:t>
        <w:tab/>
        <w:t>- Sample Final Completion Certificate</w:t>
      </w:r>
    </w:p>
    <w:p>
      <w:pPr>
        <w:pStyle w:val="Normal"/>
        <w:jc w:val="both"/>
        <w:rPr>
          <w:lang w:val="en-US"/>
        </w:rPr>
      </w:pPr>
      <w:r>
        <w:rPr>
          <w:lang w:val="en-US"/>
        </w:rPr>
        <w:t>Exhibit K</w:t>
        <w:tab/>
        <w:t>- Governmental Authorizations</w:t>
      </w:r>
    </w:p>
    <w:p>
      <w:pPr>
        <w:pStyle w:val="Normal"/>
        <w:jc w:val="both"/>
        <w:rPr>
          <w:lang w:val="en-US"/>
        </w:rPr>
      </w:pPr>
      <w:r>
        <w:rPr>
          <w:lang w:val="en-US"/>
        </w:rPr>
        <w:t>Exhibit L</w:t>
        <w:tab/>
        <w:t>- Key Subcontracts</w:t>
      </w:r>
    </w:p>
    <w:p>
      <w:pPr>
        <w:pStyle w:val="Normal"/>
        <w:jc w:val="both"/>
        <w:rPr>
          <w:lang w:val="en-US"/>
        </w:rPr>
      </w:pPr>
      <w:r>
        <w:rPr>
          <w:lang w:val="en-US"/>
        </w:rPr>
        <w:t>Exhibit M</w:t>
        <w:tab/>
        <w:t>- Owner Scope of Supply</w:t>
      </w:r>
    </w:p>
    <w:p>
      <w:pPr>
        <w:pStyle w:val="Normal"/>
        <w:jc w:val="both"/>
        <w:rPr>
          <w:lang w:val="en-US"/>
        </w:rPr>
      </w:pPr>
      <w:r>
        <w:rPr>
          <w:lang w:val="en-US"/>
        </w:rPr>
        <w:t>Exhibit N</w:t>
        <w:tab/>
        <w:t>- Special Tools and Operating Spare Parts</w:t>
      </w:r>
    </w:p>
    <w:p>
      <w:pPr>
        <w:pStyle w:val="Normal"/>
        <w:jc w:val="both"/>
        <w:rPr>
          <w:lang w:val="en-US"/>
        </w:rPr>
      </w:pPr>
      <w:r>
        <w:rPr>
          <w:lang w:val="en-US"/>
        </w:rPr>
        <w:t>Exhibit O</w:t>
        <w:tab/>
        <w:t>- Operation and Maintenance Training</w:t>
      </w:r>
    </w:p>
    <w:p>
      <w:pPr>
        <w:pStyle w:val="Normal"/>
        <w:jc w:val="both"/>
        <w:rPr>
          <w:lang w:val="en-US"/>
        </w:rPr>
      </w:pPr>
      <w:r>
        <w:rPr>
          <w:lang w:val="en-US"/>
        </w:rPr>
        <w:t>Exhibit P</w:t>
        <w:tab/>
        <w:t>- Project Planning and Control/Quality Assurance</w:t>
      </w:r>
    </w:p>
    <w:p>
      <w:pPr>
        <w:pStyle w:val="Normal"/>
        <w:jc w:val="both"/>
        <w:rPr>
          <w:lang w:val="en-US"/>
        </w:rPr>
      </w:pPr>
      <w:r>
        <w:rPr>
          <w:lang w:val="en-US"/>
        </w:rPr>
        <w:t>Exhibit Q</w:t>
        <w:tab/>
        <w:t>- Importation of Equipment</w:t>
      </w:r>
    </w:p>
    <w:p>
      <w:pPr>
        <w:pStyle w:val="Normal"/>
        <w:jc w:val="both"/>
        <w:rPr>
          <w:lang w:val="en-US"/>
        </w:rPr>
      </w:pPr>
      <w:r>
        <w:rPr>
          <w:lang w:val="en-US"/>
        </w:rPr>
        <w:t>Exhibit R-1</w:t>
        <w:tab/>
        <w:t>- Contents of Job Books</w:t>
      </w:r>
    </w:p>
    <w:p>
      <w:pPr>
        <w:pStyle w:val="Normal"/>
        <w:jc w:val="both"/>
        <w:rPr>
          <w:lang w:val="en-US"/>
        </w:rPr>
      </w:pPr>
      <w:r>
        <w:rPr>
          <w:lang w:val="en-US"/>
        </w:rPr>
        <w:t>Exhibit R-2</w:t>
        <w:tab/>
        <w:t>- Drawings and Documents for Review</w:t>
      </w:r>
    </w:p>
    <w:p>
      <w:pPr>
        <w:pStyle w:val="Normal"/>
        <w:jc w:val="both"/>
        <w:rPr>
          <w:lang w:val="en-US"/>
        </w:rPr>
      </w:pPr>
      <w:r>
        <w:rPr>
          <w:lang w:val="en-US"/>
        </w:rPr>
        <w:t>Exhibit S</w:t>
        <w:tab/>
        <w:t>- List of Key Personnel</w:t>
      </w:r>
    </w:p>
    <w:p>
      <w:pPr>
        <w:pStyle w:val="Normal"/>
        <w:jc w:val="both"/>
        <w:rPr>
          <w:lang w:val="en-US"/>
        </w:rPr>
      </w:pPr>
      <w:r>
        <w:rPr>
          <w:lang w:val="en-US"/>
        </w:rPr>
        <w:t>Exhibit T</w:t>
        <w:tab/>
        <w:t>- Draft Form of Limited Guaranty</w:t>
      </w:r>
    </w:p>
    <w:p>
      <w:pPr>
        <w:pStyle w:val="Normal"/>
        <w:jc w:val="both"/>
        <w:rPr>
          <w:lang w:val="en-US"/>
        </w:rPr>
      </w:pPr>
      <w:r>
        <w:rPr>
          <w:lang w:val="en-US"/>
        </w:rPr>
        <w:t>Exhibit U</w:t>
        <w:tab/>
        <w:t>-Draft GE Contract</w:t>
      </w:r>
    </w:p>
    <w:p>
      <w:pPr>
        <w:pStyle w:val="Normal"/>
        <w:jc w:val="both"/>
        <w:rPr>
          <w:lang w:val="en-US"/>
        </w:rPr>
      </w:pPr>
      <w:r>
        <w:rPr>
          <w:lang w:val="en-US"/>
        </w:rPr>
        <w:t>Exhibit V</w:t>
        <w:tab/>
        <w:t>-Draft Form of Assignment Agreement</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jc w:val="both"/>
        <w:rPr>
          <w:rFonts w:ascii="Arial" w:hAnsi="Arial" w:cs="Arial"/>
          <w:b/>
          <w:sz w:val="24"/>
          <w:lang w:val="en-US"/>
        </w:rPr>
      </w:pPr>
      <w:r>
        <w:rPr>
          <w:rFonts w:cs="Arial" w:ascii="Arial" w:hAnsi="Arial"/>
          <w:b/>
          <w:sz w:val="24"/>
          <w:lang w:val="en-US"/>
        </w:rPr>
      </w:r>
    </w:p>
    <w:p>
      <w:pPr>
        <w:pStyle w:val="Normal"/>
        <w:jc w:val="center"/>
        <w:rPr/>
      </w:pPr>
      <w:r>
        <w:rPr/>
        <w:t>ENGINEERING, PROCUREMENT &amp; CONSTRUCTION CONTRACT</w:t>
      </w:r>
    </w:p>
    <w:p>
      <w:pPr>
        <w:pStyle w:val="TOC1"/>
        <w:rPr/>
      </w:pPr>
      <w:r>
        <w:rPr/>
      </w:r>
    </w:p>
    <w:p>
      <w:pPr>
        <w:pStyle w:val="BodyText"/>
        <w:rPr/>
      </w:pPr>
      <w:r>
        <w:rPr/>
        <w:t>THIS ENGINEERING, PROCUREMENT &amp; CONSTRUCTION CONTRACT (this “Agreement”), dated as of May 15, 2000 (the “Effective Date”), between Enron Energia Industrial de Mexico S. de R.L. de C.V, a company organized and existing under the laws of  Mexico (“Owner”), and Mitsui &amp; Co. LTD,a corporation organized under the laws of Japan (“Contractor”).</w:t>
      </w:r>
    </w:p>
    <w:p>
      <w:pPr>
        <w:pStyle w:val="BodyText"/>
        <w:rPr/>
      </w:pPr>
      <w:r>
        <w:rPr/>
      </w:r>
    </w:p>
    <w:p>
      <w:pPr>
        <w:pStyle w:val="BodyText"/>
        <w:jc w:val="center"/>
        <w:rPr/>
      </w:pPr>
      <w:r>
        <w:rPr/>
        <w:t>RECITALS</w:t>
      </w:r>
    </w:p>
    <w:p>
      <w:pPr>
        <w:pStyle w:val="BodyText"/>
        <w:rPr/>
      </w:pPr>
      <w:r>
        <w:rPr/>
      </w:r>
    </w:p>
    <w:p>
      <w:pPr>
        <w:pStyle w:val="BodyText"/>
        <w:rPr/>
      </w:pPr>
      <w:r>
        <w:rPr/>
        <w:t>A.</w:t>
        <w:tab/>
        <w:t>Owner desires to develop a natural gas fueled cogeneration plant to be located in Garcia N.L., Mexico.</w:t>
      </w:r>
    </w:p>
    <w:p>
      <w:pPr>
        <w:pStyle w:val="BodyText"/>
        <w:rPr/>
      </w:pPr>
      <w:r>
        <w:rPr/>
      </w:r>
    </w:p>
    <w:p>
      <w:pPr>
        <w:pStyle w:val="BodyText"/>
        <w:rPr/>
      </w:pPr>
      <w:r>
        <w:rPr/>
        <w:t>B.</w:t>
        <w:tab/>
        <w:t>Contractor has significant expertise in the design, engineering, procurement, construction, start-up, commissioning, and testing of co-generation facilities.</w:t>
      </w:r>
    </w:p>
    <w:p>
      <w:pPr>
        <w:pStyle w:val="BodyText"/>
        <w:rPr/>
      </w:pPr>
      <w:r>
        <w:rPr/>
      </w:r>
    </w:p>
    <w:p>
      <w:pPr>
        <w:pStyle w:val="BodyText"/>
        <w:rPr/>
      </w:pPr>
      <w:r>
        <w:rPr/>
        <w:t>C.</w:t>
        <w:tab/>
        <w:t>Contractor, itself or through Subcontractors (defined below), desires to provide design, engineering, procurement and construction services to build, start-up, test, and commission the Facility (defined below) at the Site (defined below) all on a stipulated, fixed</w:t>
        <w:noBreakHyphen/>
        <w:t>price basis.</w:t>
      </w:r>
    </w:p>
    <w:p>
      <w:pPr>
        <w:pStyle w:val="BodyText"/>
        <w:rPr/>
      </w:pPr>
      <w:r>
        <w:rPr/>
      </w:r>
    </w:p>
    <w:p>
      <w:pPr>
        <w:pStyle w:val="BodyText"/>
        <w:rPr/>
      </w:pPr>
      <w:r>
        <w:rPr/>
        <w:t>D.</w:t>
        <w:tab/>
        <w:t>Contractor is willing to guarantee the timely completion of the Work (defined below) and the performance of the Facility.</w:t>
      </w:r>
    </w:p>
    <w:p>
      <w:pPr>
        <w:pStyle w:val="BodyText"/>
        <w:rPr/>
      </w:pPr>
      <w:r>
        <w:rPr/>
      </w:r>
    </w:p>
    <w:p>
      <w:pPr>
        <w:pStyle w:val="BodyText"/>
        <w:rPr/>
      </w:pPr>
      <w:r>
        <w:rPr/>
        <w:t>NOW THEREFORE, Owner and Contractor agree as follows:</w:t>
      </w:r>
    </w:p>
    <w:p>
      <w:pPr>
        <w:pStyle w:val="BodyText"/>
        <w:rPr/>
      </w:pPr>
      <w:r>
        <w:rPr/>
      </w:r>
    </w:p>
    <w:p>
      <w:pPr>
        <w:pStyle w:val="BodyText"/>
        <w:rPr/>
      </w:pPr>
      <w:r>
        <w:rPr/>
      </w:r>
    </w:p>
    <w:p>
      <w:pPr>
        <w:pStyle w:val="Style1toc"/>
        <w:keepNext w:val="true"/>
        <w:rPr/>
      </w:pPr>
      <w:r>
        <w:rPr/>
        <w:t>ARTICLE 1 INTERPRETATION</w:t>
      </w:r>
      <w:r>
        <w:fldChar w:fldCharType="begin"/>
      </w:r>
      <w:r>
        <w:rPr/>
        <w:instrText xml:space="preserve"> TC "ARTICLE 1:  INTERPRETATION" \l 1 </w:instrText>
      </w:r>
      <w:r>
        <w:rPr/>
        <w:fldChar w:fldCharType="separate"/>
      </w:r>
      <w:r>
        <w:rPr/>
      </w:r>
      <w:r>
        <w:rPr/>
        <w:fldChar w:fldCharType="end"/>
      </w:r>
      <w:bookmarkStart w:id="0" w:name="__RefHeading___Toc482936793"/>
      <w:bookmarkEnd w:id="0"/>
    </w:p>
    <w:p>
      <w:pPr>
        <w:pStyle w:val="BodyText"/>
        <w:rPr>
          <w:u w:val="single"/>
        </w:rPr>
      </w:pPr>
      <w:r>
        <w:rPr>
          <w:u w:val="single"/>
        </w:rPr>
      </w:r>
    </w:p>
    <w:p>
      <w:pPr>
        <w:pStyle w:val="BodyText"/>
        <w:rPr/>
      </w:pPr>
      <w:r>
        <w:rPr/>
        <w:t>1.1</w:t>
        <w:tab/>
      </w:r>
      <w:r>
        <w:rPr>
          <w:u w:val="single"/>
        </w:rPr>
        <w:t>Defintions</w:t>
      </w:r>
      <w:r>
        <w:rPr/>
        <w:t xml:space="preserve">. </w:t>
      </w:r>
      <w:r>
        <w:fldChar w:fldCharType="begin"/>
      </w:r>
      <w:r>
        <w:rPr/>
        <w:instrText xml:space="preserve"> TC "1.1</w:instrText>
        <w:tab/>
        <w:instrText xml:space="preserve">Defintions" \l 2 </w:instrText>
      </w:r>
      <w:r>
        <w:rPr/>
        <w:fldChar w:fldCharType="separate"/>
      </w:r>
      <w:r>
        <w:rPr/>
      </w:r>
      <w:r>
        <w:rPr/>
        <w:fldChar w:fldCharType="end"/>
      </w:r>
      <w:bookmarkStart w:id="1" w:name="__RefHeading___Toc482936794"/>
      <w:bookmarkEnd w:id="1"/>
    </w:p>
    <w:p>
      <w:pPr>
        <w:pStyle w:val="BodyText"/>
        <w:rPr/>
      </w:pPr>
      <w:r>
        <w:rPr/>
        <w:t>Capitalized terms used without other definition shall have the meanings specified in this Article 1, unless the context requires otherwise.</w:t>
      </w:r>
    </w:p>
    <w:p>
      <w:pPr>
        <w:pStyle w:val="BodyText"/>
        <w:rPr/>
      </w:pPr>
      <w:r>
        <w:rPr/>
      </w:r>
    </w:p>
    <w:p>
      <w:pPr>
        <w:pStyle w:val="BodyText"/>
        <w:rPr/>
      </w:pPr>
      <w:r>
        <w:rPr/>
        <w:tab/>
        <w:t>“</w:t>
      </w:r>
      <w:r>
        <w:rPr>
          <w:u w:val="single"/>
        </w:rPr>
        <w:t>Affiliate</w:t>
      </w:r>
      <w:r>
        <w:rPr/>
        <w:t>” shall mean, with respect to any Person, any other Person that (a) owns or controls, directly or indirectly, the first Person, (b) is owned or controlled by the first Person, or (c) is under common ownership or control with the first Person, where “</w:t>
      </w:r>
      <w:r>
        <w:rPr>
          <w:i/>
        </w:rPr>
        <w:t>own</w:t>
      </w:r>
      <w:r>
        <w:rPr/>
        <w:t>”</w:t>
      </w:r>
      <w:r>
        <w:rPr>
          <w:i/>
        </w:rPr>
        <w:t xml:space="preserve"> </w:t>
      </w:r>
      <w:r>
        <w:rPr/>
        <w:t>means ownership of fifty percent (50%) or more of the equity interests or rights to distributions on account of equity of the Person and “</w:t>
      </w:r>
      <w:r>
        <w:rPr>
          <w:i/>
        </w:rPr>
        <w:t>control</w:t>
      </w:r>
      <w:r>
        <w:rPr/>
        <w:t>”</w:t>
      </w:r>
      <w:r>
        <w:rPr>
          <w:i/>
        </w:rPr>
        <w:t xml:space="preserve"> </w:t>
      </w:r>
      <w:r>
        <w:rPr/>
        <w:t>means the power to direct the management or policies of the Person, whether through the ownership of voting securities, by contract, or otherwise.</w:t>
      </w:r>
    </w:p>
    <w:p>
      <w:pPr>
        <w:pStyle w:val="BodyText"/>
        <w:rPr/>
      </w:pPr>
      <w:r>
        <w:rPr/>
      </w:r>
    </w:p>
    <w:p>
      <w:pPr>
        <w:pStyle w:val="BodyText"/>
        <w:rPr/>
      </w:pPr>
      <w:r>
        <w:rPr/>
        <w:tab/>
        <w:t>“</w:t>
      </w:r>
      <w:r>
        <w:rPr>
          <w:u w:val="single"/>
        </w:rPr>
        <w:t>Aggregate Limit</w:t>
      </w:r>
      <w:r>
        <w:rPr/>
        <w:t>” shall have the meaning set forth in Section 14.1.</w:t>
      </w:r>
    </w:p>
    <w:p>
      <w:pPr>
        <w:pStyle w:val="BodyText"/>
        <w:rPr/>
      </w:pPr>
      <w:r>
        <w:rPr/>
      </w:r>
    </w:p>
    <w:p>
      <w:pPr>
        <w:pStyle w:val="BodyText"/>
        <w:rPr/>
      </w:pPr>
      <w:r>
        <w:rPr/>
        <w:tab/>
        <w:t>“</w:t>
      </w:r>
      <w:r>
        <w:rPr>
          <w:u w:val="single"/>
        </w:rPr>
        <w:t>Agreement</w:t>
      </w:r>
      <w:r>
        <w:rPr/>
        <w:t>” shall mean this engineering, procurement, and construction contract as amended, modified or supplemented from time to time.</w:t>
      </w:r>
    </w:p>
    <w:p>
      <w:pPr>
        <w:pStyle w:val="BodyText"/>
        <w:rPr/>
      </w:pPr>
      <w:r>
        <w:rPr/>
      </w:r>
    </w:p>
    <w:p>
      <w:pPr>
        <w:pStyle w:val="BodyText"/>
        <w:rPr/>
      </w:pPr>
      <w:r>
        <w:rPr/>
        <w:tab/>
        <w:t>“</w:t>
      </w:r>
      <w:r>
        <w:rPr>
          <w:u w:val="single"/>
        </w:rPr>
        <w:t>Alternate”</w:t>
      </w:r>
      <w:r>
        <w:rPr/>
        <w:t xml:space="preserve"> shall have the meaning set forth in Section 19.2.</w:t>
      </w:r>
    </w:p>
    <w:p>
      <w:pPr>
        <w:pStyle w:val="BodyText"/>
        <w:rPr/>
      </w:pPr>
      <w:r>
        <w:rPr/>
      </w:r>
    </w:p>
    <w:p>
      <w:pPr>
        <w:pStyle w:val="BodyText"/>
        <w:rPr/>
      </w:pPr>
      <w:r>
        <w:rPr/>
        <w:tab/>
        <w:t>“</w:t>
      </w:r>
      <w:r>
        <w:rPr>
          <w:u w:val="single"/>
        </w:rPr>
        <w:t>Arbitrator”</w:t>
      </w:r>
      <w:r>
        <w:rPr/>
        <w:t xml:space="preserve"> shall have the meaning set forth in Section 19.2.</w:t>
      </w:r>
    </w:p>
    <w:p>
      <w:pPr>
        <w:pStyle w:val="BodyText"/>
        <w:rPr/>
      </w:pPr>
      <w:r>
        <w:rPr/>
      </w:r>
    </w:p>
    <w:p>
      <w:pPr>
        <w:pStyle w:val="BodyText"/>
        <w:rPr/>
      </w:pPr>
      <w:r>
        <w:rPr/>
        <w:tab/>
        <w:t>“</w:t>
      </w:r>
      <w:r>
        <w:rPr>
          <w:u w:val="single"/>
        </w:rPr>
        <w:t>Assignment Agreement</w:t>
      </w:r>
      <w:r>
        <w:rPr/>
        <w:t>” shall mean the contract which effects the assignment of the GE Contract from Enron North America Corp. to Contractor which agreement shall be substantially in the form attached hereto as Exhibit V.</w:t>
      </w:r>
    </w:p>
    <w:p>
      <w:pPr>
        <w:pStyle w:val="BodyText"/>
        <w:rPr/>
      </w:pPr>
      <w:r>
        <w:rPr/>
      </w:r>
    </w:p>
    <w:p>
      <w:pPr>
        <w:pStyle w:val="BodyText"/>
        <w:rPr/>
      </w:pPr>
      <w:r>
        <w:rPr/>
        <w:tab/>
        <w:t>“</w:t>
      </w:r>
      <w:r>
        <w:rPr>
          <w:u w:val="single"/>
        </w:rPr>
        <w:t>Auxiliary Boiler Steam Output</w:t>
      </w:r>
      <w:r>
        <w:rPr/>
        <w:t>” shall mean the Steam output of the Auxiliary Boiler (using only the Auxiliary Boiler) as measured during an Auxiliary Boiler Test and adjusted from test conditions to Basis Conditions by the methods described in Exhibit E-3.</w:t>
      </w:r>
    </w:p>
    <w:p>
      <w:pPr>
        <w:pStyle w:val="BodyText"/>
        <w:rPr/>
      </w:pPr>
      <w:r>
        <w:rPr/>
      </w:r>
    </w:p>
    <w:p>
      <w:pPr>
        <w:pStyle w:val="BodyText"/>
        <w:rPr/>
      </w:pPr>
      <w:r>
        <w:rPr/>
        <w:tab/>
        <w:t>“</w:t>
      </w:r>
      <w:r>
        <w:rPr>
          <w:u w:val="single"/>
        </w:rPr>
        <w:t>Auxiliary Boiler”</w:t>
      </w:r>
      <w:r>
        <w:rPr/>
        <w:t xml:space="preserve"> shall have the meaning as set forth in paragraph 4.6 of Exhibit B-1.</w:t>
      </w:r>
    </w:p>
    <w:p>
      <w:pPr>
        <w:pStyle w:val="BodyText"/>
        <w:rPr/>
      </w:pPr>
      <w:r>
        <w:rPr/>
      </w:r>
    </w:p>
    <w:p>
      <w:pPr>
        <w:pStyle w:val="BodyText"/>
        <w:rPr/>
      </w:pPr>
      <w:r>
        <w:rPr/>
        <w:tab/>
        <w:t>“</w:t>
      </w:r>
      <w:r>
        <w:rPr>
          <w:u w:val="single"/>
        </w:rPr>
        <w:t>Auxiliary Boiler Efficiency</w:t>
      </w:r>
      <w:r>
        <w:rPr/>
        <w:t>” shall mean the thermal efficiency of the Auxiliary Boiler expressed as a ratio of BTU/ metric ton of Steam/hr (HHV), as measured during an Auxiliary Boiler  Efficiency Test and adjusted from test conditions to Basis Conditions by the methods described in Exhibit E-3.</w:t>
      </w:r>
    </w:p>
    <w:p>
      <w:pPr>
        <w:pStyle w:val="BodyText"/>
        <w:rPr/>
      </w:pPr>
      <w:r>
        <w:rPr/>
      </w:r>
    </w:p>
    <w:p>
      <w:pPr>
        <w:pStyle w:val="BodyText"/>
        <w:rPr/>
      </w:pPr>
      <w:r>
        <w:rPr/>
        <w:tab/>
        <w:t>“</w:t>
      </w:r>
      <w:r>
        <w:rPr>
          <w:u w:val="single"/>
        </w:rPr>
        <w:t>Auxiliary Boiler Efficiency Guaranty</w:t>
      </w:r>
      <w:r>
        <w:rPr/>
        <w:t>” shall have the meaning set forth in Exhibit E-1.</w:t>
      </w:r>
    </w:p>
    <w:p>
      <w:pPr>
        <w:pStyle w:val="BodyText"/>
        <w:rPr/>
      </w:pPr>
      <w:r>
        <w:rPr/>
      </w:r>
    </w:p>
    <w:p>
      <w:pPr>
        <w:pStyle w:val="BodyText"/>
        <w:rPr/>
      </w:pPr>
      <w:r>
        <w:rPr/>
        <w:tab/>
        <w:t>“</w:t>
      </w:r>
      <w:r>
        <w:rPr>
          <w:u w:val="single"/>
        </w:rPr>
        <w:t>Auxiliary Boiler Efficiency Limit</w:t>
      </w:r>
      <w:r>
        <w:rPr/>
        <w:t>” shall have the meaning as set forth in Exhibit C-4.</w:t>
      </w:r>
    </w:p>
    <w:p>
      <w:pPr>
        <w:pStyle w:val="BodyText"/>
        <w:rPr/>
      </w:pPr>
      <w:r>
        <w:rPr/>
      </w:r>
    </w:p>
    <w:p>
      <w:pPr>
        <w:pStyle w:val="BodyText"/>
        <w:rPr/>
      </w:pPr>
      <w:r>
        <w:rPr/>
        <w:tab/>
        <w:t>“</w:t>
      </w:r>
      <w:r>
        <w:rPr>
          <w:u w:val="single"/>
        </w:rPr>
        <w:t>Auxiliary Boiler Steam Output Guaranty</w:t>
      </w:r>
      <w:r>
        <w:rPr/>
        <w:t>” shall have the meaning set forth in Exhibit E-1.</w:t>
      </w:r>
    </w:p>
    <w:p>
      <w:pPr>
        <w:pStyle w:val="BodyText"/>
        <w:rPr/>
      </w:pPr>
      <w:r>
        <w:rPr/>
      </w:r>
    </w:p>
    <w:p>
      <w:pPr>
        <w:pStyle w:val="BodyText"/>
        <w:rPr/>
      </w:pPr>
      <w:r>
        <w:rPr/>
        <w:tab/>
        <w:t>“</w:t>
      </w:r>
      <w:r>
        <w:rPr>
          <w:u w:val="single"/>
        </w:rPr>
        <w:t>Auxiliary Boiler Test</w:t>
      </w:r>
      <w:r>
        <w:rPr/>
        <w:t>” shall mean a test, conducted in accordance with the procedures developed pursuant to the guidelines set forth in Exhibit E-3, to demonstrate the efficiency and the Steam output of the Auxiliary Boiler.</w:t>
      </w:r>
    </w:p>
    <w:p>
      <w:pPr>
        <w:pStyle w:val="BodyText"/>
        <w:rPr/>
      </w:pPr>
      <w:r>
        <w:rPr/>
      </w:r>
    </w:p>
    <w:p>
      <w:pPr>
        <w:pStyle w:val="BodyText"/>
        <w:rPr/>
      </w:pPr>
      <w:r>
        <w:rPr/>
        <w:tab/>
        <w:t>“</w:t>
      </w:r>
      <w:r>
        <w:rPr>
          <w:u w:val="single"/>
        </w:rPr>
        <w:t>Availability</w:t>
      </w:r>
      <w:r>
        <w:rPr/>
        <w:t xml:space="preserve">” shall have the meaning and value as ascribed to “TA” as set out in subparagraph (x), Procedures, of paragraph 2.10 of Exhibit E-3. </w:t>
      </w:r>
    </w:p>
    <w:p>
      <w:pPr>
        <w:pStyle w:val="BodyText"/>
        <w:rPr/>
      </w:pPr>
      <w:r>
        <w:rPr/>
      </w:r>
    </w:p>
    <w:p>
      <w:pPr>
        <w:pStyle w:val="BodyText"/>
        <w:rPr/>
      </w:pPr>
      <w:r>
        <w:rPr/>
        <w:tab/>
        <w:t>“</w:t>
      </w:r>
      <w:r>
        <w:rPr>
          <w:u w:val="single"/>
        </w:rPr>
        <w:t>Availability Guaranty</w:t>
      </w:r>
      <w:r>
        <w:rPr/>
        <w:t>” shall have the meaning set forth in Exhibit E-1.</w:t>
      </w:r>
    </w:p>
    <w:p>
      <w:pPr>
        <w:pStyle w:val="BodyText"/>
        <w:rPr/>
      </w:pPr>
      <w:r>
        <w:rPr/>
      </w:r>
    </w:p>
    <w:p>
      <w:pPr>
        <w:pStyle w:val="BodyText"/>
        <w:rPr/>
      </w:pPr>
      <w:r>
        <w:rPr/>
        <w:tab/>
        <w:t>“</w:t>
      </w:r>
      <w:r>
        <w:rPr>
          <w:u w:val="single"/>
        </w:rPr>
        <w:t>Availability Test</w:t>
      </w:r>
      <w:r>
        <w:rPr/>
        <w:t>” shall mean a test of the Availability of the Facility conducted in accordance with the procedures developed pursuant to the guidelines set forth in Exhibit E-3 to demonstrate the Availability of the Facility.</w:t>
      </w:r>
    </w:p>
    <w:p>
      <w:pPr>
        <w:pStyle w:val="BodyText"/>
        <w:rPr/>
      </w:pPr>
      <w:r>
        <w:rPr/>
      </w:r>
    </w:p>
    <w:p>
      <w:pPr>
        <w:pStyle w:val="BodyText"/>
        <w:rPr/>
      </w:pPr>
      <w:r>
        <w:rPr/>
        <w:tab/>
        <w:t>“</w:t>
      </w:r>
      <w:r>
        <w:rPr>
          <w:u w:val="single"/>
        </w:rPr>
        <w:t>Balance of Contract Price</w:t>
      </w:r>
      <w:r>
        <w:rPr/>
        <w:t>” shall have the meaning set forth in Section 16.1.5.</w:t>
      </w:r>
    </w:p>
    <w:p>
      <w:pPr>
        <w:pStyle w:val="BodyText"/>
        <w:rPr/>
      </w:pPr>
      <w:r>
        <w:rPr/>
      </w:r>
    </w:p>
    <w:p>
      <w:pPr>
        <w:pStyle w:val="BodyText"/>
        <w:rPr/>
      </w:pPr>
      <w:r>
        <w:rPr/>
        <w:tab/>
        <w:t>“</w:t>
      </w:r>
      <w:r>
        <w:rPr>
          <w:u w:val="single"/>
        </w:rPr>
        <w:t>Basis Conditions</w:t>
      </w:r>
      <w:r>
        <w:rPr/>
        <w:t>” shall have the meaning set forth in Exhibit E-2.</w:t>
      </w:r>
    </w:p>
    <w:p>
      <w:pPr>
        <w:pStyle w:val="BodyText"/>
        <w:rPr/>
      </w:pPr>
      <w:r>
        <w:rPr/>
      </w:r>
    </w:p>
    <w:p>
      <w:pPr>
        <w:pStyle w:val="BodyText"/>
        <w:rPr/>
      </w:pPr>
      <w:r>
        <w:rPr/>
        <w:tab/>
        <w:t>“</w:t>
      </w:r>
      <w:r>
        <w:rPr>
          <w:u w:val="single"/>
        </w:rPr>
        <w:t>Branch Line</w:t>
      </w:r>
      <w:r>
        <w:rPr/>
        <w:t xml:space="preserve">” shall mean the self-use natural gas transportation system to be constructed in order to transport natural gas from PGPB’s gas transportation lines to the Facility, in accordance with certain self-use gas transportation permit to be granted to Owner by the Mexican Energy Regulatory Commission. </w:t>
      </w:r>
    </w:p>
    <w:p>
      <w:pPr>
        <w:pStyle w:val="BodyText"/>
        <w:rPr/>
      </w:pPr>
      <w:r>
        <w:rPr/>
      </w:r>
    </w:p>
    <w:p>
      <w:pPr>
        <w:pStyle w:val="BodyText"/>
        <w:rPr/>
      </w:pPr>
      <w:r>
        <w:rPr/>
        <w:tab/>
        <w:t>“</w:t>
      </w:r>
      <w:r>
        <w:rPr>
          <w:u w:val="single"/>
        </w:rPr>
        <w:t>Business Day</w:t>
      </w:r>
      <w:r>
        <w:rPr/>
        <w:t>” shall mean any day other than a Saturday, a Sunday, or a day on which banks in Houston, Texas are authorized or required by law to be closed.</w:t>
      </w:r>
    </w:p>
    <w:p>
      <w:pPr>
        <w:pStyle w:val="BodyText"/>
        <w:rPr/>
      </w:pPr>
      <w:r>
        <w:rPr/>
      </w:r>
    </w:p>
    <w:p>
      <w:pPr>
        <w:pStyle w:val="BodyText"/>
        <w:rPr/>
      </w:pPr>
      <w:r>
        <w:rPr/>
        <w:tab/>
        <w:t>“</w:t>
      </w:r>
      <w:r>
        <w:rPr>
          <w:u w:val="single"/>
        </w:rPr>
        <w:t>Buydown Performance Liquidated Damages</w:t>
      </w:r>
      <w:r>
        <w:rPr/>
        <w:t>” shall mean the Buydown Electrical Output Liquidated Damages, Buydown Heat Rate Liquidated Damages, Buydown Power Plant Steam Output Liquidated Damages, Buydown Auxiliary Boiler Steam Output Liquidated Damages, and Buydown Auxiliary Boiler Efficiency Liquidated Damages, (each of which are defined in Exhibit C-4) collectively or independently depending upon context of use.</w:t>
      </w:r>
    </w:p>
    <w:p>
      <w:pPr>
        <w:pStyle w:val="Style2toc"/>
        <w:rPr/>
      </w:pPr>
      <w:r>
        <w:rPr/>
      </w:r>
    </w:p>
    <w:p>
      <w:pPr>
        <w:pStyle w:val="BodyText"/>
        <w:rPr/>
      </w:pPr>
      <w:r>
        <w:rPr/>
        <w:tab/>
        <w:t>“</w:t>
      </w:r>
      <w:r>
        <w:rPr>
          <w:u w:val="single"/>
        </w:rPr>
        <w:t>Capacity Users</w:t>
      </w:r>
      <w:r>
        <w:rPr/>
        <w:t xml:space="preserve"> shall mean the entities that are the purchasers of electrical power from the Facility.</w:t>
      </w:r>
    </w:p>
    <w:p>
      <w:pPr>
        <w:pStyle w:val="BodyText"/>
        <w:rPr/>
      </w:pPr>
      <w:r>
        <w:rPr/>
      </w:r>
    </w:p>
    <w:p>
      <w:pPr>
        <w:pStyle w:val="BodyText"/>
        <w:rPr/>
      </w:pPr>
      <w:r>
        <w:rPr/>
        <w:tab/>
        <w:t>“</w:t>
      </w:r>
      <w:r>
        <w:rPr>
          <w:u w:val="single"/>
        </w:rPr>
        <w:t>CFE</w:t>
      </w:r>
      <w:r>
        <w:rPr/>
        <w:t>” shall mean Comisión Federal de Electricidad.</w:t>
      </w:r>
    </w:p>
    <w:p>
      <w:pPr>
        <w:pStyle w:val="BodyText"/>
        <w:rPr/>
      </w:pPr>
      <w:r>
        <w:rPr/>
      </w:r>
    </w:p>
    <w:p>
      <w:pPr>
        <w:pStyle w:val="BodyTextIndent"/>
        <w:ind w:hanging="0" w:end="0"/>
        <w:rPr/>
      </w:pPr>
      <w:r>
        <w:rPr/>
        <w:tab/>
        <w:t>“</w:t>
      </w:r>
      <w:r>
        <w:rPr>
          <w:u w:val="single"/>
        </w:rPr>
        <w:t>CFE Facilities</w:t>
      </w:r>
      <w:r>
        <w:rPr/>
        <w:t>” shall mean those facilities at the interconnection point and the delivery points where CFE will receive and deliver, respectively, the power output generated by the Facility and transmitted through CFE’s transmission grid, which facilities shall be transferred to CFE pursuant to the terms of the facilities and assignment agreement to be entered between CFE and Owner.</w:t>
      </w:r>
    </w:p>
    <w:p>
      <w:pPr>
        <w:pStyle w:val="BodyText"/>
        <w:rPr/>
      </w:pPr>
      <w:r>
        <w:rPr/>
      </w:r>
    </w:p>
    <w:p>
      <w:pPr>
        <w:pStyle w:val="BodyText"/>
        <w:rPr/>
      </w:pPr>
      <w:r>
        <w:rPr/>
        <w:tab/>
        <w:t>“</w:t>
      </w:r>
      <w:r>
        <w:rPr>
          <w:u w:val="single"/>
        </w:rPr>
        <w:t>CFE Standards</w:t>
      </w:r>
      <w:r>
        <w:rPr/>
        <w:t>” shall mean the technical standards and specifications established under the facilities and assignment agreement to be entered between Owner and CFE for the construction and transfer to CFE of the CFE Facilities.</w:t>
      </w:r>
    </w:p>
    <w:p>
      <w:pPr>
        <w:pStyle w:val="BodyText"/>
        <w:rPr/>
      </w:pPr>
      <w:r>
        <w:rPr/>
      </w:r>
    </w:p>
    <w:p>
      <w:pPr>
        <w:pStyle w:val="BodyText"/>
        <w:rPr/>
      </w:pPr>
      <w:r>
        <w:rPr/>
        <w:tab/>
        <w:t>“</w:t>
      </w:r>
      <w:r>
        <w:rPr>
          <w:u w:val="single"/>
        </w:rPr>
        <w:t>Change</w:t>
      </w:r>
      <w:r>
        <w:rPr/>
        <w:t>” shall mean a change in the Scope of Work, Specifications, Performance Guaranties, Minimum Performance Guaranties, Contract Price, Guaranteed Completion Date, or Project Schedule as applicable.</w:t>
      </w:r>
    </w:p>
    <w:p>
      <w:pPr>
        <w:pStyle w:val="BodyText"/>
        <w:rPr/>
      </w:pPr>
      <w:r>
        <w:rPr/>
      </w:r>
    </w:p>
    <w:p>
      <w:pPr>
        <w:pStyle w:val="BodyText"/>
        <w:rPr/>
      </w:pPr>
      <w:r>
        <w:rPr/>
        <w:tab/>
        <w:t>“</w:t>
      </w:r>
      <w:r>
        <w:rPr>
          <w:u w:val="single"/>
        </w:rPr>
        <w:t>Change In Law</w:t>
      </w:r>
      <w:r>
        <w:rPr/>
        <w:t>” shall have the meaning specified for such term in Exhibit G-2.</w:t>
      </w:r>
    </w:p>
    <w:p>
      <w:pPr>
        <w:pStyle w:val="BodyText"/>
        <w:rPr/>
      </w:pPr>
      <w:r>
        <w:rPr/>
      </w:r>
    </w:p>
    <w:p>
      <w:pPr>
        <w:pStyle w:val="BodyText"/>
        <w:rPr/>
      </w:pPr>
      <w:r>
        <w:rPr/>
        <w:tab/>
        <w:t>“</w:t>
      </w:r>
      <w:r>
        <w:rPr>
          <w:u w:val="single"/>
        </w:rPr>
        <w:t>Change Order</w:t>
      </w:r>
      <w:r>
        <w:rPr/>
        <w:t>” shall mean a written order pursuant to Article 6, signed by Owner authorizing a Change.</w:t>
      </w:r>
    </w:p>
    <w:p>
      <w:pPr>
        <w:pStyle w:val="BodyText"/>
        <w:rPr/>
      </w:pPr>
      <w:r>
        <w:rPr/>
      </w:r>
    </w:p>
    <w:p>
      <w:pPr>
        <w:pStyle w:val="BodyText"/>
        <w:rPr/>
      </w:pPr>
      <w:r>
        <w:rPr/>
        <w:tab/>
        <w:t>“</w:t>
      </w:r>
      <w:r>
        <w:rPr>
          <w:u w:val="single"/>
        </w:rPr>
        <w:t>Collateral Guaranty</w:t>
      </w:r>
      <w:r>
        <w:rPr/>
        <w:t>” shall have the meaning set forth in Section 21.2.</w:t>
      </w:r>
    </w:p>
    <w:p>
      <w:pPr>
        <w:pStyle w:val="BodyText"/>
        <w:rPr/>
      </w:pPr>
      <w:r>
        <w:rPr/>
      </w:r>
    </w:p>
    <w:p>
      <w:pPr>
        <w:pStyle w:val="BodyText"/>
        <w:rPr/>
      </w:pPr>
      <w:r>
        <w:rPr/>
        <w:tab/>
        <w:t>“</w:t>
      </w:r>
      <w:r>
        <w:rPr>
          <w:u w:val="single"/>
        </w:rPr>
        <w:t>Confidential Information”</w:t>
      </w:r>
      <w:r>
        <w:rPr/>
        <w:t xml:space="preserve"> shall have the meaning set forth in Section 20.3.</w:t>
      </w:r>
    </w:p>
    <w:p>
      <w:pPr>
        <w:pStyle w:val="BodyText"/>
        <w:rPr/>
      </w:pPr>
      <w:r>
        <w:rPr/>
      </w:r>
    </w:p>
    <w:p>
      <w:pPr>
        <w:pStyle w:val="BodyText"/>
        <w:rPr/>
      </w:pPr>
      <w:r>
        <w:rPr/>
        <w:tab/>
        <w:t>“</w:t>
      </w:r>
      <w:r>
        <w:rPr>
          <w:u w:val="single"/>
        </w:rPr>
        <w:t>Contract Price”</w:t>
      </w:r>
      <w:r>
        <w:rPr/>
        <w:t xml:space="preserve"> shall have the meaning given to such term in Exhibit C-1.</w:t>
      </w:r>
    </w:p>
    <w:p>
      <w:pPr>
        <w:pStyle w:val="BodyText"/>
        <w:rPr/>
      </w:pPr>
      <w:r>
        <w:rPr/>
      </w:r>
    </w:p>
    <w:p>
      <w:pPr>
        <w:pStyle w:val="BodyText"/>
        <w:rPr/>
      </w:pPr>
      <w:r>
        <w:rPr/>
        <w:tab/>
        <w:t>“</w:t>
      </w:r>
      <w:r>
        <w:rPr>
          <w:u w:val="single"/>
        </w:rPr>
        <w:t>Contractor”</w:t>
      </w:r>
      <w:r>
        <w:rPr/>
        <w:t xml:space="preserve"> shall have the meaning specified for such term in the preamble to this Agreement.</w:t>
      </w:r>
    </w:p>
    <w:p>
      <w:pPr>
        <w:pStyle w:val="BodyText"/>
        <w:rPr/>
      </w:pPr>
      <w:r>
        <w:rPr/>
      </w:r>
    </w:p>
    <w:p>
      <w:pPr>
        <w:pStyle w:val="BodyText"/>
        <w:rPr/>
      </w:pPr>
      <w:r>
        <w:rPr/>
        <w:tab/>
        <w:t>“</w:t>
      </w:r>
      <w:r>
        <w:rPr>
          <w:u w:val="single"/>
        </w:rPr>
        <w:t>Contractor Indemnitee</w:t>
      </w:r>
      <w:r>
        <w:rPr/>
        <w:t>” shall mean Contractor, Subcontractors, and each of their Affiliates, successors, assigns, officers, directors, and employees.</w:t>
      </w:r>
    </w:p>
    <w:p>
      <w:pPr>
        <w:pStyle w:val="BodyText"/>
        <w:rPr/>
      </w:pPr>
      <w:r>
        <w:rPr/>
      </w:r>
    </w:p>
    <w:p>
      <w:pPr>
        <w:pStyle w:val="BodyText"/>
        <w:rPr/>
      </w:pPr>
      <w:r>
        <w:rPr/>
        <w:tab/>
        <w:t>“</w:t>
      </w:r>
      <w:r>
        <w:rPr>
          <w:u w:val="single"/>
        </w:rPr>
        <w:t>Contractor Indemnitor</w:t>
      </w:r>
      <w:r>
        <w:rPr/>
        <w:t>” shall have the meaning set forth in Section 18.1.</w:t>
      </w:r>
    </w:p>
    <w:p>
      <w:pPr>
        <w:pStyle w:val="BodyText"/>
        <w:rPr/>
      </w:pPr>
      <w:r>
        <w:rPr/>
      </w:r>
    </w:p>
    <w:p>
      <w:pPr>
        <w:pStyle w:val="BodyText"/>
        <w:rPr/>
      </w:pPr>
      <w:r>
        <w:rPr/>
        <w:tab/>
        <w:t>“</w:t>
      </w:r>
      <w:r>
        <w:rPr>
          <w:u w:val="single"/>
        </w:rPr>
        <w:t>Contractor Insurance</w:t>
      </w:r>
      <w:r>
        <w:rPr/>
        <w:t>” shall have the meaning set forth in Exhibit H-1.</w:t>
      </w:r>
    </w:p>
    <w:p>
      <w:pPr>
        <w:pStyle w:val="BodyText"/>
        <w:rPr/>
      </w:pPr>
      <w:r>
        <w:rPr/>
      </w:r>
    </w:p>
    <w:p>
      <w:pPr>
        <w:pStyle w:val="BodyText"/>
        <w:rPr/>
      </w:pPr>
      <w:r>
        <w:rPr/>
        <w:tab/>
        <w:t>“</w:t>
      </w:r>
      <w:r>
        <w:rPr>
          <w:u w:val="single"/>
        </w:rPr>
        <w:t>Contractor Lien</w:t>
      </w:r>
      <w:r>
        <w:rPr/>
        <w:t>” shall have the meaning set forth in Section 3.17.1.</w:t>
      </w:r>
    </w:p>
    <w:p>
      <w:pPr>
        <w:pStyle w:val="BodyText"/>
        <w:rPr/>
      </w:pPr>
      <w:r>
        <w:rPr/>
      </w:r>
    </w:p>
    <w:p>
      <w:pPr>
        <w:pStyle w:val="BodyText"/>
        <w:rPr/>
      </w:pPr>
      <w:r>
        <w:rPr/>
        <w:tab/>
        <w:t>“</w:t>
      </w:r>
      <w:r>
        <w:rPr>
          <w:u w:val="single"/>
        </w:rPr>
        <w:t>Contractor’s Equipment</w:t>
      </w:r>
      <w:r>
        <w:rPr/>
        <w:t>” shall mean all appliances or things of whatever nature required for the performance of the Work at the Site, but not including any items intended to form or forming part of the Facility.</w:t>
      </w:r>
    </w:p>
    <w:p>
      <w:pPr>
        <w:pStyle w:val="BodyText"/>
        <w:rPr/>
      </w:pPr>
      <w:r>
        <w:rPr/>
      </w:r>
    </w:p>
    <w:p>
      <w:pPr>
        <w:pStyle w:val="BodyText"/>
        <w:rPr/>
      </w:pPr>
      <w:r>
        <w:rPr/>
        <w:tab/>
        <w:t>“</w:t>
      </w:r>
      <w:r>
        <w:rPr>
          <w:u w:val="single"/>
        </w:rPr>
        <w:t>Contractor’s Representative</w:t>
      </w:r>
      <w:r>
        <w:rPr/>
        <w:t>” shall have the meaning set forth in Section 3.19.</w:t>
      </w:r>
    </w:p>
    <w:p>
      <w:pPr>
        <w:pStyle w:val="BodyText"/>
        <w:rPr/>
      </w:pPr>
      <w:r>
        <w:rPr/>
      </w:r>
    </w:p>
    <w:p>
      <w:pPr>
        <w:pStyle w:val="BodyText"/>
        <w:rPr/>
      </w:pPr>
      <w:r>
        <w:rPr/>
        <w:tab/>
        <w:t>“</w:t>
      </w:r>
      <w:r>
        <w:rPr>
          <w:u w:val="single"/>
        </w:rPr>
        <w:t>Cost to Complete Facility</w:t>
      </w:r>
      <w:r>
        <w:rPr/>
        <w:t>” shall have the meaning set forth in Section 16.1.5.</w:t>
      </w:r>
    </w:p>
    <w:p>
      <w:pPr>
        <w:pStyle w:val="BodyText"/>
        <w:rPr/>
      </w:pPr>
      <w:r>
        <w:rPr/>
      </w:r>
    </w:p>
    <w:p>
      <w:pPr>
        <w:pStyle w:val="BodyText"/>
        <w:rPr/>
      </w:pPr>
      <w:r>
        <w:rPr/>
        <w:tab/>
        <w:t>“</w:t>
      </w:r>
      <w:r>
        <w:rPr>
          <w:u w:val="single"/>
        </w:rPr>
        <w:t>Day</w:t>
      </w:r>
      <w:r>
        <w:rPr/>
        <w:t>” or “</w:t>
      </w:r>
      <w:r>
        <w:rPr>
          <w:u w:val="single"/>
        </w:rPr>
        <w:t>day</w:t>
      </w:r>
      <w:r>
        <w:rPr/>
        <w:t>” shall mean a calendar day and shall include Saturdays, Sundays and holidays.</w:t>
      </w:r>
    </w:p>
    <w:p>
      <w:pPr>
        <w:pStyle w:val="BodyText"/>
        <w:rPr/>
      </w:pPr>
      <w:r>
        <w:rPr/>
      </w:r>
    </w:p>
    <w:p>
      <w:pPr>
        <w:pStyle w:val="BodyText"/>
        <w:rPr/>
      </w:pPr>
      <w:r>
        <w:rPr/>
        <w:tab/>
        <w:t>“</w:t>
      </w:r>
      <w:r>
        <w:rPr>
          <w:u w:val="single"/>
        </w:rPr>
        <w:t>Default Rate</w:t>
      </w:r>
      <w:r>
        <w:rPr/>
        <w:t>” shall have the meaning set forth in Exhibit C-1.</w:t>
      </w:r>
    </w:p>
    <w:p>
      <w:pPr>
        <w:pStyle w:val="BodyText"/>
        <w:rPr/>
      </w:pPr>
      <w:r>
        <w:rPr/>
      </w:r>
    </w:p>
    <w:p>
      <w:pPr>
        <w:pStyle w:val="BodyText"/>
        <w:rPr/>
      </w:pPr>
      <w:r>
        <w:rPr/>
        <w:tab/>
        <w:t>“</w:t>
      </w:r>
      <w:r>
        <w:rPr>
          <w:u w:val="single"/>
        </w:rPr>
        <w:t>Delay Limit</w:t>
      </w:r>
      <w:r>
        <w:rPr/>
        <w:t>” shall have the meaning set forth in Exhibit C-4.</w:t>
      </w:r>
    </w:p>
    <w:p>
      <w:pPr>
        <w:pStyle w:val="BodyText"/>
        <w:rPr/>
      </w:pPr>
      <w:r>
        <w:rPr/>
      </w:r>
    </w:p>
    <w:p>
      <w:pPr>
        <w:pStyle w:val="BodyText"/>
        <w:rPr/>
      </w:pPr>
      <w:r>
        <w:rPr/>
        <w:tab/>
        <w:t>“</w:t>
      </w:r>
      <w:r>
        <w:rPr>
          <w:u w:val="single"/>
        </w:rPr>
        <w:t>Delay Liquidated Damages</w:t>
      </w:r>
      <w:r>
        <w:rPr/>
        <w:t>” shall mean any liquidated damages payable pursuant to Section 13.3.</w:t>
      </w:r>
    </w:p>
    <w:p>
      <w:pPr>
        <w:pStyle w:val="BodyText"/>
        <w:rPr/>
      </w:pPr>
      <w:r>
        <w:rPr/>
      </w:r>
    </w:p>
    <w:p>
      <w:pPr>
        <w:pStyle w:val="BodyText"/>
        <w:rPr/>
      </w:pPr>
      <w:r>
        <w:rPr/>
        <w:tab/>
        <w:t>“</w:t>
      </w:r>
      <w:r>
        <w:rPr>
          <w:u w:val="single"/>
        </w:rPr>
        <w:t>Draft GE Contract</w:t>
      </w:r>
      <w:r>
        <w:rPr/>
        <w:t>” shall have the meaning set forth in Section 6.4.</w:t>
      </w:r>
    </w:p>
    <w:p>
      <w:pPr>
        <w:pStyle w:val="BodyText"/>
        <w:rPr/>
      </w:pPr>
      <w:r>
        <w:rPr/>
      </w:r>
    </w:p>
    <w:p>
      <w:pPr>
        <w:pStyle w:val="BodyText"/>
        <w:rPr/>
      </w:pPr>
      <w:r>
        <w:rPr/>
        <w:tab/>
        <w:t>“</w:t>
      </w:r>
      <w:r>
        <w:rPr>
          <w:u w:val="single"/>
        </w:rPr>
        <w:t>Effective Date</w:t>
      </w:r>
      <w:r>
        <w:rPr/>
        <w:t>” shall have the meaning specified for such term in the preamble to this Agreement.</w:t>
      </w:r>
    </w:p>
    <w:p>
      <w:pPr>
        <w:pStyle w:val="BodyText"/>
        <w:rPr/>
      </w:pPr>
      <w:r>
        <w:rPr/>
      </w:r>
    </w:p>
    <w:p>
      <w:pPr>
        <w:pStyle w:val="BodyText"/>
        <w:rPr/>
      </w:pPr>
      <w:r>
        <w:rPr/>
        <w:tab/>
        <w:t>“</w:t>
      </w:r>
      <w:r>
        <w:rPr>
          <w:u w:val="single"/>
        </w:rPr>
        <w:t>Emissions Guaranty</w:t>
      </w:r>
      <w:r>
        <w:rPr/>
        <w:t>” shall have the meaning set forth in Exhibit E-1.</w:t>
      </w:r>
    </w:p>
    <w:p>
      <w:pPr>
        <w:pStyle w:val="BodyText"/>
        <w:rPr/>
      </w:pPr>
      <w:r>
        <w:rPr/>
      </w:r>
    </w:p>
    <w:p>
      <w:pPr>
        <w:pStyle w:val="BodyText"/>
        <w:rPr/>
      </w:pPr>
      <w:r>
        <w:rPr/>
        <w:tab/>
        <w:t>“</w:t>
      </w:r>
      <w:r>
        <w:rPr>
          <w:u w:val="single"/>
        </w:rPr>
        <w:t>Emissions Test</w:t>
      </w:r>
      <w:r>
        <w:rPr/>
        <w:t>” shall mean a test, conducted in accordance with the procedures developed pursuant to the guidelines set forth in Exhibit E-3, to determine the emissions into the air of the Facility.</w:t>
      </w:r>
    </w:p>
    <w:p>
      <w:pPr>
        <w:pStyle w:val="BodyText"/>
        <w:rPr/>
      </w:pPr>
      <w:r>
        <w:rPr/>
      </w:r>
    </w:p>
    <w:p>
      <w:pPr>
        <w:pStyle w:val="BodyText"/>
        <w:rPr/>
      </w:pPr>
      <w:r>
        <w:rPr/>
        <w:tab/>
        <w:t>“</w:t>
      </w:r>
      <w:r>
        <w:rPr>
          <w:u w:val="single"/>
        </w:rPr>
        <w:t>End Date</w:t>
      </w:r>
      <w:r>
        <w:rPr/>
        <w:t>” shall be the date set forth in Section 13.1.</w:t>
      </w:r>
    </w:p>
    <w:p>
      <w:pPr>
        <w:pStyle w:val="BodyText"/>
        <w:rPr/>
      </w:pPr>
      <w:r>
        <w:rPr/>
      </w:r>
    </w:p>
    <w:p>
      <w:pPr>
        <w:pStyle w:val="BodyText"/>
        <w:rPr/>
      </w:pPr>
      <w:r>
        <w:rPr/>
        <w:tab/>
        <w:t>“</w:t>
      </w:r>
      <w:r>
        <w:rPr>
          <w:u w:val="single"/>
        </w:rPr>
        <w:t>Environmental Assumptions</w:t>
      </w:r>
      <w:r>
        <w:rPr/>
        <w:t>” shall have the meaning set forth in Section 3.18.3.</w:t>
      </w:r>
    </w:p>
    <w:p>
      <w:pPr>
        <w:pStyle w:val="BodyText"/>
        <w:rPr/>
      </w:pPr>
      <w:r>
        <w:rPr/>
      </w:r>
    </w:p>
    <w:p>
      <w:pPr>
        <w:pStyle w:val="BodyText"/>
        <w:rPr/>
      </w:pPr>
      <w:r>
        <w:rPr/>
        <w:tab/>
        <w:t>“</w:t>
      </w:r>
      <w:r>
        <w:rPr>
          <w:u w:val="single"/>
        </w:rPr>
        <w:t>Equipment</w:t>
      </w:r>
      <w:r>
        <w:rPr/>
        <w:t xml:space="preserve">” shall mean all </w:t>
      </w:r>
      <w:r>
        <w:rPr>
          <w:rStyle w:val="LP2"/>
          <w:sz w:val="24"/>
        </w:rPr>
        <w:t>machinery, equipment, computer hardware and software, apparatus, materials, articles, drawings, designs, plans and things of all kinds to be provided by Contractor under this Agreement and/or incorporated into the Facility other than Contractor's Equipment</w:t>
      </w:r>
      <w:r>
        <w:rPr/>
        <w:t>.  The Contractor will provide an equipment list in the offshore and an onshore cotract when this Agreement is replaced by an offshore and an onshore contract.</w:t>
      </w:r>
    </w:p>
    <w:p>
      <w:pPr>
        <w:pStyle w:val="BodyText"/>
        <w:rPr/>
      </w:pPr>
      <w:r>
        <w:rPr/>
      </w:r>
    </w:p>
    <w:p>
      <w:pPr>
        <w:pStyle w:val="BodyText"/>
        <w:rPr/>
      </w:pPr>
      <w:r>
        <w:rPr/>
        <w:tab/>
        <w:t>“</w:t>
      </w:r>
      <w:r>
        <w:rPr>
          <w:u w:val="single"/>
        </w:rPr>
        <w:t>Facility</w:t>
      </w:r>
      <w:r>
        <w:rPr/>
        <w:t>” shall mean the cogeneration plant and certain related facilities described in Exhibit B-1.</w:t>
      </w:r>
    </w:p>
    <w:p>
      <w:pPr>
        <w:pStyle w:val="BodyText"/>
        <w:rPr/>
      </w:pPr>
      <w:r>
        <w:rPr/>
      </w:r>
    </w:p>
    <w:p>
      <w:pPr>
        <w:pStyle w:val="BodyText"/>
        <w:rPr>
          <w:u w:val="single"/>
        </w:rPr>
      </w:pPr>
      <w:r>
        <w:rPr/>
        <w:tab/>
        <w:t>“</w:t>
      </w:r>
      <w:r>
        <w:rPr>
          <w:u w:val="single"/>
        </w:rPr>
        <w:t>Far Field Sound Level Guaranty</w:t>
      </w:r>
      <w:r>
        <w:rPr/>
        <w:t>” shall have the meaning as set forth in Exhibit E-1.</w:t>
      </w:r>
    </w:p>
    <w:p>
      <w:pPr>
        <w:pStyle w:val="BodyText"/>
        <w:rPr>
          <w:u w:val="single"/>
        </w:rPr>
      </w:pPr>
      <w:r>
        <w:rPr>
          <w:u w:val="single"/>
        </w:rPr>
      </w:r>
    </w:p>
    <w:p>
      <w:pPr>
        <w:pStyle w:val="BodyText"/>
        <w:rPr/>
      </w:pPr>
      <w:r>
        <w:rPr/>
        <w:tab/>
        <w:t>“</w:t>
      </w:r>
      <w:r>
        <w:rPr>
          <w:u w:val="single"/>
        </w:rPr>
        <w:t>Fast</w:t>
        <w:noBreakHyphen/>
        <w:t>Track Arbitrator</w:t>
      </w:r>
      <w:r>
        <w:rPr/>
        <w:t>” shall have the meaning set forth in Section 19.2.</w:t>
      </w:r>
    </w:p>
    <w:p>
      <w:pPr>
        <w:pStyle w:val="BodyText"/>
        <w:rPr/>
      </w:pPr>
      <w:r>
        <w:rPr/>
      </w:r>
    </w:p>
    <w:p>
      <w:pPr>
        <w:pStyle w:val="BodyText"/>
        <w:rPr/>
      </w:pPr>
      <w:r>
        <w:rPr/>
        <w:tab/>
        <w:t>“</w:t>
      </w:r>
      <w:r>
        <w:rPr>
          <w:u w:val="single"/>
        </w:rPr>
        <w:t>Final Completion</w:t>
      </w:r>
      <w:r>
        <w:rPr/>
        <w:t>” shall have the meaning set forth in Section 11.3.</w:t>
      </w:r>
    </w:p>
    <w:p>
      <w:pPr>
        <w:pStyle w:val="BodyText"/>
        <w:rPr/>
      </w:pPr>
      <w:r>
        <w:rPr/>
      </w:r>
    </w:p>
    <w:p>
      <w:pPr>
        <w:pStyle w:val="BodyText"/>
        <w:rPr/>
      </w:pPr>
      <w:r>
        <w:rPr/>
        <w:tab/>
        <w:t>“</w:t>
      </w:r>
      <w:r>
        <w:rPr>
          <w:u w:val="single"/>
        </w:rPr>
        <w:t>Final Completion Certificate</w:t>
      </w:r>
      <w:r>
        <w:rPr/>
        <w:t>” shall have the meaning set forth in Section 11.3.</w:t>
      </w:r>
    </w:p>
    <w:p>
      <w:pPr>
        <w:pStyle w:val="BodyText"/>
        <w:rPr/>
      </w:pPr>
      <w:r>
        <w:rPr/>
      </w:r>
    </w:p>
    <w:p>
      <w:pPr>
        <w:pStyle w:val="BodyText"/>
        <w:rPr/>
      </w:pPr>
      <w:r>
        <w:rPr/>
        <w:tab/>
        <w:t>“</w:t>
      </w:r>
      <w:r>
        <w:rPr>
          <w:u w:val="single"/>
        </w:rPr>
        <w:t>Financial Close</w:t>
      </w:r>
      <w:r>
        <w:rPr/>
        <w:t>” shall mean Owner obtaining loans, credit commitments, and other financing that in the aggregate is greater than or equal to the amount of the Contract Price.</w:t>
      </w:r>
    </w:p>
    <w:p>
      <w:pPr>
        <w:pStyle w:val="BodyText"/>
        <w:rPr/>
      </w:pPr>
      <w:r>
        <w:rPr/>
      </w:r>
    </w:p>
    <w:p>
      <w:pPr>
        <w:pStyle w:val="BodyText"/>
        <w:rPr/>
      </w:pPr>
      <w:r>
        <w:rPr/>
        <w:tab/>
        <w:t>“</w:t>
      </w:r>
      <w:r>
        <w:rPr>
          <w:u w:val="single"/>
        </w:rPr>
        <w:t>Force Majeure</w:t>
      </w:r>
      <w:r>
        <w:rPr/>
        <w:t>” shall have the meaning set forth in Exhibit G-3.</w:t>
      </w:r>
    </w:p>
    <w:p>
      <w:pPr>
        <w:pStyle w:val="BodyText"/>
        <w:rPr/>
      </w:pPr>
      <w:r>
        <w:rPr/>
      </w:r>
    </w:p>
    <w:p>
      <w:pPr>
        <w:pStyle w:val="BodyText"/>
        <w:rPr>
          <w:rStyle w:val="LP2"/>
          <w:sz w:val="24"/>
        </w:rPr>
      </w:pPr>
      <w:r>
        <w:rPr/>
        <w:tab/>
        <w:t>“</w:t>
      </w:r>
      <w:r>
        <w:rPr>
          <w:u w:val="single"/>
        </w:rPr>
        <w:t>GE</w:t>
      </w:r>
      <w:r>
        <w:rPr/>
        <w:t>” shall mean GE Power Systems Inc.</w:t>
      </w:r>
    </w:p>
    <w:p>
      <w:pPr>
        <w:pStyle w:val="BodyText"/>
        <w:rPr>
          <w:rStyle w:val="LP2"/>
          <w:sz w:val="24"/>
        </w:rPr>
      </w:pPr>
      <w:r>
        <w:rPr/>
      </w:r>
    </w:p>
    <w:p>
      <w:pPr>
        <w:pStyle w:val="BodyText"/>
        <w:rPr/>
      </w:pPr>
      <w:r>
        <w:rPr/>
        <w:tab/>
        <w:t>“</w:t>
      </w:r>
      <w:r>
        <w:rPr>
          <w:u w:val="single"/>
        </w:rPr>
        <w:t>GE Contract</w:t>
      </w:r>
      <w:r>
        <w:rPr/>
        <w:t>” shall have the meaning set forth in Section 3.2.1.</w:t>
      </w:r>
    </w:p>
    <w:p>
      <w:pPr>
        <w:pStyle w:val="BodyText"/>
        <w:rPr/>
      </w:pPr>
      <w:r>
        <w:rPr/>
      </w:r>
    </w:p>
    <w:p>
      <w:pPr>
        <w:pStyle w:val="BodyText"/>
        <w:rPr/>
      </w:pPr>
      <w:r>
        <w:rPr>
          <w:rStyle w:val="LP2"/>
          <w:sz w:val="24"/>
        </w:rPr>
        <w:tab/>
        <w:t>“</w:t>
      </w:r>
      <w:r>
        <w:rPr>
          <w:rStyle w:val="LP2"/>
          <w:sz w:val="24"/>
          <w:u w:val="single"/>
        </w:rPr>
        <w:t>Good International Industry Practice" or “GIIP</w:t>
      </w:r>
      <w:r>
        <w:rPr>
          <w:rStyle w:val="LP2"/>
          <w:sz w:val="24"/>
        </w:rPr>
        <w:t>” s</w:t>
      </w:r>
      <w:r>
        <w:rPr/>
        <w:t>hall mean those practices, methods, techniques and standards, as in effect or generally applicable at the time of performance of the Work, that are generally accepted for use in the independent international  power generation industry and commonly used in prudent power generation engineering and operations to design, engineer, construct, test, operate and maintain equipment lawfully, safely, efficiently and economically as applicable to equipment of the size, service, and type used in the Facility.</w:t>
      </w:r>
    </w:p>
    <w:p>
      <w:pPr>
        <w:pStyle w:val="BodyText"/>
        <w:rPr/>
      </w:pPr>
      <w:r>
        <w:rPr/>
      </w:r>
    </w:p>
    <w:p>
      <w:pPr>
        <w:pStyle w:val="BodyText"/>
        <w:rPr/>
      </w:pPr>
      <w:r>
        <w:rPr/>
        <w:tab/>
        <w:t>“</w:t>
      </w:r>
      <w:r>
        <w:rPr>
          <w:u w:val="single"/>
        </w:rPr>
        <w:t>Governmental Authority</w:t>
      </w:r>
      <w:r>
        <w:rPr/>
        <w:t>” shall mean the governmental, administrative, and municipal authorities, including, without limitation, any ministry, court, tribunal, department, municipality, city, instrumentality, agency, or commission under the direct or indirect control of Mexico or any other country which has jurisdiction over any elements of the Work.</w:t>
      </w:r>
    </w:p>
    <w:p>
      <w:pPr>
        <w:pStyle w:val="BodyText"/>
        <w:rPr/>
      </w:pPr>
      <w:r>
        <w:rPr/>
      </w:r>
    </w:p>
    <w:p>
      <w:pPr>
        <w:pStyle w:val="BodyText"/>
        <w:rPr/>
      </w:pPr>
      <w:r>
        <w:rPr/>
        <w:tab/>
        <w:t>“</w:t>
      </w:r>
      <w:r>
        <w:rPr>
          <w:u w:val="single"/>
        </w:rPr>
        <w:t>Governmental Authorizations</w:t>
      </w:r>
      <w:r>
        <w:rPr/>
        <w:t>” shall mean all permits, consents, decisions, licenses, approvals, certificates, confirmations or exemptions from, and all applications and notices filed with any Governmental Authority that are necessary for the design, engineering, procurement, construction, start-up, commissioning, testing, financing, ownership, and operation of the Facility.</w:t>
      </w:r>
    </w:p>
    <w:p>
      <w:pPr>
        <w:pStyle w:val="BodyText"/>
        <w:rPr/>
      </w:pPr>
      <w:r>
        <w:rPr/>
      </w:r>
    </w:p>
    <w:p>
      <w:pPr>
        <w:pStyle w:val="BodyText"/>
        <w:rPr/>
      </w:pPr>
      <w:r>
        <w:rPr/>
        <w:tab/>
        <w:t>“</w:t>
      </w:r>
      <w:r>
        <w:rPr>
          <w:u w:val="single"/>
        </w:rPr>
        <w:t>Guaranteed Completion Date</w:t>
      </w:r>
      <w:r>
        <w:rPr/>
        <w:t>” shall have the meaning as set forth in Section 13.1.</w:t>
      </w:r>
    </w:p>
    <w:p>
      <w:pPr>
        <w:pStyle w:val="BodyText"/>
        <w:rPr/>
      </w:pPr>
      <w:r>
        <w:rPr/>
      </w:r>
    </w:p>
    <w:p>
      <w:pPr>
        <w:pStyle w:val="BodyText"/>
        <w:rPr/>
      </w:pPr>
      <w:r>
        <w:rPr/>
        <w:tab/>
        <w:t>“</w:t>
      </w:r>
      <w:r>
        <w:rPr>
          <w:u w:val="single"/>
        </w:rPr>
        <w:t>Hazardous Substances</w:t>
      </w:r>
      <w:r>
        <w:rPr/>
        <w:t>” shall mean any substance or material regulated or governed by any Governmental Authority, or any substance, emission or material now or hereafter deemed by any court or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BodyText"/>
        <w:rPr/>
      </w:pPr>
      <w:r>
        <w:rPr/>
      </w:r>
    </w:p>
    <w:p>
      <w:pPr>
        <w:pStyle w:val="BodyText"/>
        <w:rPr/>
      </w:pPr>
      <w:r>
        <w:rPr/>
        <w:tab/>
        <w:t>“</w:t>
      </w:r>
      <w:r>
        <w:rPr>
          <w:u w:val="single"/>
        </w:rPr>
        <w:t>Heat Rate</w:t>
      </w:r>
      <w:r>
        <w:rPr/>
        <w:t>” shall mean the thermal efficiency of the Facility expressed as a ratio of Btu (HHV) consumed to a kWh of electric power output, as measured during a Heat Rate Test and adjusted from test conditions to Basis Conditions by the methods described in Exhibit E-3.</w:t>
      </w:r>
    </w:p>
    <w:p>
      <w:pPr>
        <w:pStyle w:val="BodyText"/>
        <w:rPr/>
      </w:pPr>
      <w:r>
        <w:rPr/>
      </w:r>
    </w:p>
    <w:p>
      <w:pPr>
        <w:pStyle w:val="BodyText"/>
        <w:rPr/>
      </w:pPr>
      <w:r>
        <w:rPr/>
        <w:tab/>
        <w:t>“</w:t>
      </w:r>
      <w:r>
        <w:rPr>
          <w:u w:val="single"/>
        </w:rPr>
        <w:t>Heat Rate Guaranty</w:t>
      </w:r>
      <w:r>
        <w:rPr/>
        <w:t>” shall have the meaning set forth in Exhibit E-1.</w:t>
      </w:r>
    </w:p>
    <w:p>
      <w:pPr>
        <w:pStyle w:val="BodyText"/>
        <w:rPr/>
      </w:pPr>
      <w:r>
        <w:rPr/>
      </w:r>
    </w:p>
    <w:p>
      <w:pPr>
        <w:pStyle w:val="BodyText"/>
        <w:rPr/>
      </w:pPr>
      <w:r>
        <w:rPr/>
        <w:tab/>
        <w:t>“</w:t>
      </w:r>
      <w:r>
        <w:rPr>
          <w:u w:val="single"/>
        </w:rPr>
        <w:t>Heat Rate Limit</w:t>
      </w:r>
      <w:r>
        <w:rPr/>
        <w:t>” shall have the meaning set forth in Exhibit C-4.</w:t>
      </w:r>
    </w:p>
    <w:p>
      <w:pPr>
        <w:pStyle w:val="BodyText"/>
        <w:rPr/>
      </w:pPr>
      <w:r>
        <w:rPr/>
      </w:r>
    </w:p>
    <w:p>
      <w:pPr>
        <w:pStyle w:val="BodyText"/>
        <w:rPr/>
      </w:pPr>
      <w:r>
        <w:rPr/>
        <w:tab/>
        <w:t>“</w:t>
      </w:r>
      <w:r>
        <w:rPr>
          <w:u w:val="single"/>
        </w:rPr>
        <w:t>Heat Rate Test</w:t>
      </w:r>
      <w:r>
        <w:rPr/>
        <w:t>” shall mean a test, conducted in accordance with the procedures developed pursuant to the guidelines set forth in Exhibit E-3, to demonstrate the Heat Rate of the Facility.</w:t>
      </w:r>
    </w:p>
    <w:p>
      <w:pPr>
        <w:pStyle w:val="BodyText"/>
        <w:rPr/>
      </w:pPr>
      <w:r>
        <w:rPr/>
      </w:r>
    </w:p>
    <w:p>
      <w:pPr>
        <w:pStyle w:val="BodyText"/>
        <w:rPr/>
      </w:pPr>
      <w:r>
        <w:rPr/>
        <w:tab/>
        <w:t>“</w:t>
      </w:r>
      <w:r>
        <w:rPr>
          <w:u w:val="single"/>
        </w:rPr>
        <w:t>Indemnitee</w:t>
      </w:r>
      <w:r>
        <w:rPr/>
        <w:t>” shall have the meaning set forth in Section 18.5.</w:t>
      </w:r>
    </w:p>
    <w:p>
      <w:pPr>
        <w:pStyle w:val="BodyText"/>
        <w:rPr/>
      </w:pPr>
      <w:r>
        <w:rPr/>
      </w:r>
    </w:p>
    <w:p>
      <w:pPr>
        <w:pStyle w:val="BodyText"/>
        <w:rPr/>
      </w:pPr>
      <w:r>
        <w:rPr/>
        <w:tab/>
        <w:t>“</w:t>
      </w:r>
      <w:r>
        <w:rPr>
          <w:u w:val="single"/>
        </w:rPr>
        <w:t>Indemnitor</w:t>
      </w:r>
      <w:r>
        <w:rPr/>
        <w:t>” shall have the meaning set forth in Section 18.5.</w:t>
      </w:r>
    </w:p>
    <w:p>
      <w:pPr>
        <w:pStyle w:val="BodyText"/>
        <w:rPr/>
      </w:pPr>
      <w:r>
        <w:rPr/>
      </w:r>
    </w:p>
    <w:p>
      <w:pPr>
        <w:pStyle w:val="BodyText"/>
        <w:rPr/>
      </w:pPr>
      <w:r>
        <w:rPr/>
        <w:tab/>
        <w:t>“</w:t>
      </w:r>
      <w:r>
        <w:rPr>
          <w:u w:val="single"/>
        </w:rPr>
        <w:t>Interim Liquidated Damages</w:t>
      </w:r>
      <w:r>
        <w:rPr/>
        <w:t>” shall have the meaning set forth in Exhibit C-4.</w:t>
      </w:r>
      <w:r>
        <w:rPr>
          <w:u w:val="single"/>
        </w:rPr>
        <w:t xml:space="preserve"> </w:t>
      </w:r>
    </w:p>
    <w:p>
      <w:pPr>
        <w:pStyle w:val="Style2toc"/>
        <w:rPr>
          <w:u w:val="single"/>
        </w:rPr>
      </w:pPr>
      <w:r>
        <w:rPr>
          <w:u w:val="single"/>
        </w:rPr>
      </w:r>
    </w:p>
    <w:p>
      <w:pPr>
        <w:pStyle w:val="Style2toc"/>
        <w:rPr>
          <w:u w:val="single"/>
        </w:rPr>
      </w:pPr>
      <w:r>
        <w:rPr/>
        <w:tab/>
        <w:t>“</w:t>
      </w:r>
      <w:r>
        <w:rPr>
          <w:u w:val="single"/>
        </w:rPr>
        <w:t>Interim Performance Liquidated Damages</w:t>
      </w:r>
      <w:r>
        <w:rPr/>
        <w:t>” shall mean the Interim Output Liquidated Damages, Interim Heat Rate Liquidated Damages, Interim Steam Output Liquidated Damages, Interim Auxiliary Boiler Steam Output Liquidated Damages, and Interim Auxiliary Boiler Efficiency Liquidated Damages, (each of which are defined in Exhibit C-4) collectively or independently depending upon context of use.</w:t>
      </w:r>
    </w:p>
    <w:p>
      <w:pPr>
        <w:pStyle w:val="BodyText"/>
        <w:rPr>
          <w:u w:val="single"/>
        </w:rPr>
      </w:pPr>
      <w:r>
        <w:rPr>
          <w:u w:val="single"/>
        </w:rPr>
      </w:r>
    </w:p>
    <w:p>
      <w:pPr>
        <w:pStyle w:val="BodyText"/>
        <w:rPr/>
      </w:pPr>
      <w:r>
        <w:rPr/>
        <w:tab/>
        <w:t>“</w:t>
      </w:r>
      <w:r>
        <w:rPr>
          <w:u w:val="single"/>
        </w:rPr>
        <w:t>Invoice</w:t>
      </w:r>
      <w:r>
        <w:rPr/>
        <w:t>” shall mean the document issued by Contractor on a monthly basis and in compliance with Mexico’s tax laws to request for payment in accordance with Section 7.2.2, which shall be accompanied by a statement of account substantially in the form of Exhibit C</w:t>
        <w:noBreakHyphen/>
        <w:t>5.</w:t>
      </w:r>
    </w:p>
    <w:p>
      <w:pPr>
        <w:pStyle w:val="BodyText"/>
        <w:rPr/>
      </w:pPr>
      <w:r>
        <w:rPr/>
      </w:r>
    </w:p>
    <w:p>
      <w:pPr>
        <w:pStyle w:val="BodyText"/>
        <w:rPr/>
      </w:pPr>
      <w:r>
        <w:rPr/>
        <w:tab/>
        <w:t>“</w:t>
      </w:r>
      <w:r>
        <w:rPr>
          <w:u w:val="single"/>
        </w:rPr>
        <w:t>Job Books</w:t>
      </w:r>
      <w:r>
        <w:rPr/>
        <w:t>” shall have the meaning set forth in Section 10.1.</w:t>
      </w:r>
    </w:p>
    <w:p>
      <w:pPr>
        <w:pStyle w:val="BodyText"/>
        <w:rPr/>
      </w:pPr>
      <w:r>
        <w:rPr/>
      </w:r>
    </w:p>
    <w:p>
      <w:pPr>
        <w:pStyle w:val="BodyText"/>
        <w:rPr/>
      </w:pPr>
      <w:r>
        <w:rPr/>
        <w:tab/>
        <w:t>“</w:t>
      </w:r>
      <w:r>
        <w:rPr>
          <w:u w:val="single"/>
        </w:rPr>
        <w:t>Key Subcontract</w:t>
      </w:r>
      <w:r>
        <w:rPr/>
        <w:t>” shall mean any Subcontract that is designated as such on Exhibit L-1.</w:t>
      </w:r>
    </w:p>
    <w:p>
      <w:pPr>
        <w:pStyle w:val="BodyText"/>
        <w:rPr/>
      </w:pPr>
      <w:r>
        <w:rPr/>
      </w:r>
    </w:p>
    <w:p>
      <w:pPr>
        <w:pStyle w:val="BodyText"/>
        <w:rPr/>
      </w:pPr>
      <w:r>
        <w:rPr/>
        <w:tab/>
        <w:t>“</w:t>
      </w:r>
      <w:r>
        <w:rPr>
          <w:u w:val="single"/>
        </w:rPr>
        <w:t>Key Subcontractor</w:t>
      </w:r>
      <w:r>
        <w:rPr/>
        <w:t>” shall mean any Subcontractor with whom Contractor enters into a Key Subcontract.</w:t>
      </w:r>
    </w:p>
    <w:p>
      <w:pPr>
        <w:pStyle w:val="BodyText"/>
        <w:rPr/>
      </w:pPr>
      <w:r>
        <w:rPr/>
      </w:r>
    </w:p>
    <w:p>
      <w:pPr>
        <w:pStyle w:val="BodyText"/>
        <w:rPr/>
      </w:pPr>
      <w:r>
        <w:rPr/>
        <w:tab/>
        <w:t>“</w:t>
      </w:r>
      <w:r>
        <w:rPr>
          <w:u w:val="single"/>
        </w:rPr>
        <w:t>kW</w:t>
      </w:r>
      <w:r>
        <w:rPr/>
        <w:t>” shall mean kilowatts.</w:t>
      </w:r>
    </w:p>
    <w:p>
      <w:pPr>
        <w:pStyle w:val="BodyText"/>
        <w:rPr/>
      </w:pPr>
      <w:r>
        <w:rPr/>
      </w:r>
    </w:p>
    <w:p>
      <w:pPr>
        <w:pStyle w:val="BodyText"/>
        <w:rPr/>
      </w:pPr>
      <w:r>
        <w:rPr/>
        <w:tab/>
        <w:t>“</w:t>
      </w:r>
      <w:r>
        <w:rPr>
          <w:u w:val="single"/>
        </w:rPr>
        <w:t>kWh</w:t>
      </w:r>
      <w:r>
        <w:rPr/>
        <w:t>” shall mean kilowatt-hours.</w:t>
      </w:r>
    </w:p>
    <w:p>
      <w:pPr>
        <w:pStyle w:val="BodyText"/>
        <w:rPr/>
      </w:pPr>
      <w:r>
        <w:rPr/>
      </w:r>
    </w:p>
    <w:p>
      <w:pPr>
        <w:pStyle w:val="BodyText"/>
        <w:rPr/>
      </w:pPr>
      <w:r>
        <w:rPr/>
        <w:tab/>
        <w:t>“</w:t>
      </w:r>
      <w:r>
        <w:rPr>
          <w:u w:val="single"/>
        </w:rPr>
        <w:t>Law</w:t>
      </w:r>
      <w:r>
        <w:rPr/>
        <w:t>” shall mean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or any applicable engineering, construction, safety, or electrical generation code.</w:t>
      </w:r>
    </w:p>
    <w:p>
      <w:pPr>
        <w:pStyle w:val="BodyText"/>
        <w:rPr/>
      </w:pPr>
      <w:r>
        <w:rPr/>
      </w:r>
    </w:p>
    <w:p>
      <w:pPr>
        <w:pStyle w:val="BodyText"/>
        <w:rPr/>
      </w:pPr>
      <w:r>
        <w:rPr/>
        <w:tab/>
        <w:t>“</w:t>
      </w:r>
      <w:r>
        <w:rPr>
          <w:u w:val="single"/>
        </w:rPr>
        <w:t>Lender</w:t>
      </w:r>
      <w:r>
        <w:rPr/>
        <w:t>” shall mean lenders, institutions, noteholders, bondholders, or other Persons providing or guaranteeing, financing or refinancing to Owner for the construction of the Facility, and any agent or trustee therefor.</w:t>
      </w:r>
    </w:p>
    <w:p>
      <w:pPr>
        <w:pStyle w:val="BodyText"/>
        <w:rPr/>
      </w:pPr>
      <w:r>
        <w:rPr/>
      </w:r>
    </w:p>
    <w:p>
      <w:pPr>
        <w:pStyle w:val="BodyText"/>
        <w:rPr/>
      </w:pPr>
      <w:r>
        <w:rPr/>
        <w:tab/>
        <w:t>“</w:t>
      </w:r>
      <w:r>
        <w:rPr>
          <w:u w:val="single"/>
        </w:rPr>
        <w:t>Liquidated Limit</w:t>
      </w:r>
      <w:r>
        <w:rPr/>
        <w:t>” shall have the meaning set forth in Exhibit C-4.</w:t>
      </w:r>
    </w:p>
    <w:p>
      <w:pPr>
        <w:pStyle w:val="BodyText"/>
        <w:rPr/>
      </w:pPr>
      <w:r>
        <w:rPr/>
      </w:r>
    </w:p>
    <w:p>
      <w:pPr>
        <w:pStyle w:val="BodyText"/>
        <w:rPr/>
      </w:pPr>
      <w:r>
        <w:rPr/>
        <w:tab/>
        <w:t>“</w:t>
      </w:r>
      <w:r>
        <w:rPr>
          <w:u w:val="single"/>
        </w:rPr>
        <w:t>Mechanical Completion</w:t>
      </w:r>
      <w:r>
        <w:rPr/>
        <w:t>” shall mean, with respect to each unit, system, or component of the Facility, the completion of the Work relating thereto, including flushing and purging of systems;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also include but not be limited to the following pre</w:t>
        <w:noBreakHyphen/>
        <w:t>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BodyText"/>
        <w:rPr/>
      </w:pPr>
      <w:r>
        <w:rPr/>
      </w:r>
    </w:p>
    <w:p>
      <w:pPr>
        <w:pStyle w:val="BodyText"/>
        <w:rPr/>
      </w:pPr>
      <w:r>
        <w:rPr/>
        <w:tab/>
        <w:t>“</w:t>
      </w:r>
      <w:r>
        <w:rPr>
          <w:u w:val="single"/>
        </w:rPr>
        <w:t>Milestone Payment Schedule</w:t>
      </w:r>
      <w:r>
        <w:rPr/>
        <w:t>” shall mean the milestone payment schedule as set forth in Exhibit C-2.</w:t>
      </w:r>
    </w:p>
    <w:p>
      <w:pPr>
        <w:pStyle w:val="BodyText"/>
        <w:rPr/>
      </w:pPr>
      <w:r>
        <w:rPr/>
      </w:r>
    </w:p>
    <w:p>
      <w:pPr>
        <w:pStyle w:val="BodyText"/>
        <w:rPr/>
      </w:pPr>
      <w:r>
        <w:rPr/>
        <w:tab/>
        <w:t>“</w:t>
      </w:r>
      <w:r>
        <w:rPr>
          <w:u w:val="single"/>
        </w:rPr>
        <w:t>Minimum Performance Auxiliary Boiler Efficiency Guaranty</w:t>
      </w:r>
      <w:r>
        <w:rPr/>
        <w:t>” shall have the meaning set forth in Exhibit E-1.</w:t>
      </w:r>
    </w:p>
    <w:p>
      <w:pPr>
        <w:pStyle w:val="BodyText"/>
        <w:rPr/>
      </w:pPr>
      <w:r>
        <w:rPr/>
      </w:r>
    </w:p>
    <w:p>
      <w:pPr>
        <w:pStyle w:val="BodyText"/>
        <w:rPr/>
      </w:pPr>
      <w:r>
        <w:rPr/>
        <w:tab/>
        <w:t>“</w:t>
      </w:r>
      <w:r>
        <w:rPr>
          <w:u w:val="single"/>
        </w:rPr>
        <w:t>Minimum Performance Auxiliary Boiler Steam Output Guaranty</w:t>
      </w:r>
      <w:r>
        <w:rPr/>
        <w:t>” shall have the meaning set forth in Exhibit E-1.</w:t>
      </w:r>
    </w:p>
    <w:p>
      <w:pPr>
        <w:pStyle w:val="BodyText"/>
        <w:rPr/>
      </w:pPr>
      <w:r>
        <w:rPr/>
      </w:r>
    </w:p>
    <w:p>
      <w:pPr>
        <w:pStyle w:val="BodyText"/>
        <w:rPr/>
      </w:pPr>
      <w:r>
        <w:rPr/>
        <w:tab/>
        <w:t>“</w:t>
      </w:r>
      <w:r>
        <w:rPr>
          <w:u w:val="single"/>
        </w:rPr>
        <w:t>Minimum Performance Guaranties</w:t>
      </w:r>
      <w:r>
        <w:rPr/>
        <w:t>” shall mean Minimum Performance Net Electrical Output Guaranty, Minimum Performance Heat Rate Guaranty, Minimum Performance Power Plant Steam Output Guaranty, Minimum Performance Auxiliary Boiler Steam Output Guaranty, Minimum Performance Auxiliary Boiler Efficiency Guaranty, Reliability Guaranty, Sound Level Guaranty, and Emissions Guaranty.</w:t>
      </w:r>
    </w:p>
    <w:p>
      <w:pPr>
        <w:pStyle w:val="BodyText"/>
        <w:rPr/>
      </w:pPr>
      <w:r>
        <w:rPr/>
      </w:r>
    </w:p>
    <w:p>
      <w:pPr>
        <w:pStyle w:val="BodyText"/>
        <w:rPr/>
      </w:pPr>
      <w:r>
        <w:rPr/>
        <w:tab/>
        <w:t>“</w:t>
      </w:r>
      <w:r>
        <w:rPr>
          <w:u w:val="single"/>
        </w:rPr>
        <w:t>Minimum Performance Heat Rate Guaranty</w:t>
      </w:r>
      <w:r>
        <w:rPr/>
        <w:t>” shall have the meaning set forth in Exhibit E</w:t>
        <w:noBreakHyphen/>
        <w:t>1.</w:t>
      </w:r>
    </w:p>
    <w:p>
      <w:pPr>
        <w:pStyle w:val="BodyText"/>
        <w:rPr/>
      </w:pPr>
      <w:r>
        <w:rPr/>
      </w:r>
    </w:p>
    <w:p>
      <w:pPr>
        <w:pStyle w:val="BodyText"/>
        <w:rPr/>
      </w:pPr>
      <w:r>
        <w:rPr/>
        <w:tab/>
        <w:t>“</w:t>
      </w:r>
      <w:r>
        <w:rPr>
          <w:u w:val="single"/>
        </w:rPr>
        <w:t>Minimum Performance Net Electrical Output Guaranty</w:t>
      </w:r>
      <w:r>
        <w:rPr/>
        <w:t>” shall have the meaning set forth in Exhibit E-1.</w:t>
      </w:r>
    </w:p>
    <w:p>
      <w:pPr>
        <w:pStyle w:val="BodyText"/>
        <w:rPr/>
      </w:pPr>
      <w:r>
        <w:rPr/>
      </w:r>
    </w:p>
    <w:p>
      <w:pPr>
        <w:pStyle w:val="BodyText"/>
        <w:rPr/>
      </w:pPr>
      <w:r>
        <w:rPr/>
        <w:tab/>
        <w:t>“</w:t>
      </w:r>
      <w:r>
        <w:rPr>
          <w:u w:val="single"/>
        </w:rPr>
        <w:t>Minimum Performance Power Plant Steam Output Guaranty</w:t>
      </w:r>
      <w:r>
        <w:rPr/>
        <w:t>” shall have the meaning set forth in Exhibit E-1.</w:t>
      </w:r>
    </w:p>
    <w:p>
      <w:pPr>
        <w:pStyle w:val="BodyText"/>
        <w:rPr/>
      </w:pPr>
      <w:r>
        <w:rPr/>
      </w:r>
    </w:p>
    <w:p>
      <w:pPr>
        <w:pStyle w:val="BodyText"/>
        <w:rPr/>
      </w:pPr>
      <w:r>
        <w:rPr/>
        <w:tab/>
        <w:t>“</w:t>
      </w:r>
      <w:r>
        <w:rPr>
          <w:u w:val="single"/>
        </w:rPr>
        <w:t>Month</w:t>
      </w:r>
      <w:r>
        <w:rPr/>
        <w:t>” or “</w:t>
      </w:r>
      <w:r>
        <w:rPr>
          <w:u w:val="single"/>
        </w:rPr>
        <w:t>month</w:t>
      </w:r>
      <w:r>
        <w:rPr/>
        <w:t>” shall mean a calendar month (in accordance with the Gregorian calendar).</w:t>
      </w:r>
    </w:p>
    <w:p>
      <w:pPr>
        <w:pStyle w:val="BodyText"/>
        <w:rPr/>
      </w:pPr>
      <w:r>
        <w:rPr/>
      </w:r>
    </w:p>
    <w:p>
      <w:pPr>
        <w:pStyle w:val="BodyText"/>
        <w:rPr/>
      </w:pPr>
      <w:r>
        <w:rPr/>
        <w:tab/>
        <w:t>“</w:t>
      </w:r>
      <w:r>
        <w:rPr>
          <w:u w:val="single"/>
        </w:rPr>
        <w:t>mtph</w:t>
      </w:r>
      <w:r>
        <w:rPr/>
        <w:t>” shall mean metric tonnes per hour.</w:t>
      </w:r>
    </w:p>
    <w:p>
      <w:pPr>
        <w:pStyle w:val="BodyText"/>
        <w:rPr/>
      </w:pPr>
      <w:r>
        <w:rPr/>
      </w:r>
    </w:p>
    <w:p>
      <w:pPr>
        <w:pStyle w:val="BodyText"/>
        <w:rPr/>
      </w:pPr>
      <w:r>
        <w:rPr/>
        <w:tab/>
        <w:t>“</w:t>
      </w:r>
      <w:r>
        <w:rPr>
          <w:u w:val="single"/>
        </w:rPr>
        <w:t>MW</w:t>
      </w:r>
      <w:r>
        <w:rPr/>
        <w:t>” shall mean megawatts.</w:t>
      </w:r>
    </w:p>
    <w:p>
      <w:pPr>
        <w:pStyle w:val="BodyText"/>
        <w:rPr/>
      </w:pPr>
      <w:r>
        <w:rPr/>
      </w:r>
    </w:p>
    <w:p>
      <w:pPr>
        <w:pStyle w:val="BodyText"/>
        <w:rPr/>
      </w:pPr>
      <w:r>
        <w:rPr/>
        <w:tab/>
        <w:t>“</w:t>
      </w:r>
      <w:r>
        <w:rPr>
          <w:u w:val="single"/>
        </w:rPr>
        <w:t>Near Source Sound Level Guaranty</w:t>
      </w:r>
      <w:r>
        <w:rPr/>
        <w:t>” shall have the meaning set forth in Exhibit E-1.</w:t>
      </w:r>
    </w:p>
    <w:p>
      <w:pPr>
        <w:pStyle w:val="BodyText"/>
        <w:rPr/>
      </w:pPr>
      <w:r>
        <w:rPr/>
      </w:r>
    </w:p>
    <w:p>
      <w:pPr>
        <w:pStyle w:val="BodyText"/>
        <w:rPr/>
      </w:pPr>
      <w:r>
        <w:rPr/>
        <w:tab/>
        <w:t>“</w:t>
      </w:r>
      <w:r>
        <w:rPr>
          <w:u w:val="single"/>
        </w:rPr>
        <w:t>Net Electrical Output</w:t>
      </w:r>
      <w:r>
        <w:rPr/>
        <w:t>” shall mean the kW output of the Facility net of auxiliary loads (except as otherwise described in the Basis Conditions) as measured during a Net Electrical Output Test and adjusted from test conditions to Basis Conditions by the methods described in Exhibit E-3.</w:t>
      </w:r>
    </w:p>
    <w:p>
      <w:pPr>
        <w:pStyle w:val="BodyText"/>
        <w:rPr/>
      </w:pPr>
      <w:r>
        <w:rPr/>
      </w:r>
    </w:p>
    <w:p>
      <w:pPr>
        <w:pStyle w:val="BodyText"/>
        <w:rPr/>
      </w:pPr>
      <w:r>
        <w:rPr/>
        <w:tab/>
        <w:t>“</w:t>
      </w:r>
      <w:r>
        <w:rPr>
          <w:u w:val="single"/>
        </w:rPr>
        <w:t>Net Electrical Output Guaranty</w:t>
      </w:r>
      <w:r>
        <w:rPr/>
        <w:t>” shall have the meaning set forth in Exhibit E-1.</w:t>
      </w:r>
    </w:p>
    <w:p>
      <w:pPr>
        <w:pStyle w:val="BodyText"/>
        <w:rPr/>
      </w:pPr>
      <w:r>
        <w:rPr/>
      </w:r>
    </w:p>
    <w:p>
      <w:pPr>
        <w:pStyle w:val="BodyText"/>
        <w:rPr/>
      </w:pPr>
      <w:r>
        <w:rPr/>
        <w:tab/>
        <w:t>“</w:t>
      </w:r>
      <w:r>
        <w:rPr>
          <w:u w:val="single"/>
        </w:rPr>
        <w:t>Net Electrical Output Limit</w:t>
      </w:r>
      <w:r>
        <w:rPr/>
        <w:t>” shall have the meaning set forth in Exhibit C-4.</w:t>
      </w:r>
    </w:p>
    <w:p>
      <w:pPr>
        <w:pStyle w:val="BodyText"/>
        <w:rPr/>
      </w:pPr>
      <w:r>
        <w:rPr/>
      </w:r>
    </w:p>
    <w:p>
      <w:pPr>
        <w:pStyle w:val="BodyText"/>
        <w:rPr/>
      </w:pPr>
      <w:r>
        <w:rPr/>
        <w:tab/>
        <w:t>“</w:t>
      </w:r>
      <w:r>
        <w:rPr>
          <w:u w:val="single"/>
        </w:rPr>
        <w:t>Net Electrical Output Test</w:t>
      </w:r>
      <w:r>
        <w:rPr/>
        <w:t>” shall mean a test, conducted in accordance with the procedures developed pursuant to the guidelines set forth in Exhibit E-3, to demonstrate the electric output of the Facility.</w:t>
      </w:r>
    </w:p>
    <w:p>
      <w:pPr>
        <w:pStyle w:val="BodyText"/>
        <w:rPr/>
      </w:pPr>
      <w:r>
        <w:rPr/>
      </w:r>
    </w:p>
    <w:p>
      <w:pPr>
        <w:pStyle w:val="BodyText"/>
        <w:rPr/>
      </w:pPr>
      <w:r>
        <w:rPr/>
        <w:tab/>
        <w:t>“</w:t>
      </w:r>
      <w:r>
        <w:rPr>
          <w:u w:val="single"/>
        </w:rPr>
        <w:t>Notice to Proceed</w:t>
      </w:r>
      <w:r>
        <w:rPr/>
        <w:t>” shall have the meaning set forth in Section 5.1.2.</w:t>
      </w:r>
    </w:p>
    <w:p>
      <w:pPr>
        <w:pStyle w:val="BodyText"/>
        <w:rPr/>
      </w:pPr>
      <w:r>
        <w:rPr/>
      </w:r>
    </w:p>
    <w:p>
      <w:pPr>
        <w:pStyle w:val="BodyText"/>
        <w:rPr/>
      </w:pPr>
      <w:r>
        <w:rPr/>
        <w:tab/>
        <w:t>“</w:t>
      </w:r>
      <w:r>
        <w:rPr>
          <w:u w:val="single"/>
        </w:rPr>
        <w:t>Notice to Proceed Effective Date</w:t>
      </w:r>
      <w:r>
        <w:rPr/>
        <w:t>” shall have the meaning set forth in Section 5.1.2.</w:t>
      </w:r>
    </w:p>
    <w:p>
      <w:pPr>
        <w:pStyle w:val="BodyText"/>
        <w:rPr/>
      </w:pPr>
      <w:r>
        <w:rPr/>
      </w:r>
    </w:p>
    <w:p>
      <w:pPr>
        <w:pStyle w:val="BodyText"/>
        <w:rPr/>
      </w:pPr>
      <w:r>
        <w:rPr/>
        <w:tab/>
        <w:t>“</w:t>
      </w:r>
      <w:r>
        <w:rPr>
          <w:u w:val="single"/>
        </w:rPr>
        <w:t>Notice to Proceed Issue Date</w:t>
      </w:r>
      <w:r>
        <w:rPr/>
        <w:t>” shall have the meaning set forth in Section 5.1.2.</w:t>
      </w:r>
    </w:p>
    <w:p>
      <w:pPr>
        <w:pStyle w:val="BodyText"/>
        <w:rPr/>
      </w:pPr>
      <w:r>
        <w:rPr/>
      </w:r>
    </w:p>
    <w:p>
      <w:pPr>
        <w:pStyle w:val="BodyText"/>
        <w:rPr/>
      </w:pPr>
      <w:r>
        <w:rPr/>
        <w:tab/>
        <w:t>“</w:t>
      </w:r>
      <w:r>
        <w:rPr>
          <w:u w:val="single"/>
        </w:rPr>
        <w:t>Offtakers</w:t>
      </w:r>
      <w:r>
        <w:rPr/>
        <w:t>” shall mean the Capacity Users and the Steam Purchaser.</w:t>
      </w:r>
    </w:p>
    <w:p>
      <w:pPr>
        <w:pStyle w:val="BodyText"/>
        <w:rPr/>
      </w:pPr>
      <w:r>
        <w:rPr/>
      </w:r>
    </w:p>
    <w:p>
      <w:pPr>
        <w:pStyle w:val="BodyText"/>
        <w:rPr/>
      </w:pPr>
      <w:r>
        <w:rPr/>
        <w:tab/>
        <w:t>“</w:t>
      </w:r>
      <w:r>
        <w:rPr>
          <w:u w:val="single"/>
        </w:rPr>
        <w:t>Operator</w:t>
      </w:r>
      <w:r>
        <w:rPr/>
        <w:t>” shall mean either the entity under contract to Owner for the operation and maintenance of the Facility, if any, or Owner.</w:t>
      </w:r>
    </w:p>
    <w:p>
      <w:pPr>
        <w:pStyle w:val="BodyText"/>
        <w:rPr/>
      </w:pPr>
      <w:r>
        <w:rPr/>
      </w:r>
    </w:p>
    <w:p>
      <w:pPr>
        <w:pStyle w:val="BodyText"/>
        <w:rPr/>
      </w:pPr>
      <w:r>
        <w:rPr/>
        <w:tab/>
        <w:t>“</w:t>
      </w:r>
      <w:r>
        <w:rPr>
          <w:u w:val="single"/>
        </w:rPr>
        <w:t>Out of Scope Construction</w:t>
      </w:r>
      <w:r>
        <w:rPr/>
        <w:t>” shall have the meaning set forth in Section 3.16.</w:t>
      </w:r>
    </w:p>
    <w:p>
      <w:pPr>
        <w:pStyle w:val="BodyText"/>
        <w:rPr/>
      </w:pPr>
      <w:r>
        <w:rPr/>
      </w:r>
    </w:p>
    <w:p>
      <w:pPr>
        <w:pStyle w:val="BodyText"/>
        <w:rPr/>
      </w:pPr>
      <w:r>
        <w:rPr/>
        <w:tab/>
        <w:t>“</w:t>
      </w:r>
      <w:r>
        <w:rPr>
          <w:u w:val="single"/>
        </w:rPr>
        <w:t>Owner</w:t>
      </w:r>
      <w:r>
        <w:rPr/>
        <w:t>” shall have the meaning set forth in the preamble to this Agreement.</w:t>
      </w:r>
    </w:p>
    <w:p>
      <w:pPr>
        <w:pStyle w:val="BodyText"/>
        <w:rPr/>
      </w:pPr>
      <w:r>
        <w:rPr/>
      </w:r>
    </w:p>
    <w:p>
      <w:pPr>
        <w:pStyle w:val="Style2toc"/>
        <w:rPr/>
      </w:pPr>
      <w:r>
        <w:rPr/>
        <w:tab/>
        <w:t>“</w:t>
      </w:r>
      <w:r>
        <w:rPr>
          <w:u w:val="single"/>
        </w:rPr>
        <w:t>Owner Delay</w:t>
      </w:r>
      <w:r>
        <w:rPr/>
        <w:t>” means: any delay by Owner in performing its obligations under this Agreement, which delay adversely affects Contractor’s cost, schedule, or other performance under this Agreement.</w:t>
      </w:r>
    </w:p>
    <w:p>
      <w:pPr>
        <w:pStyle w:val="BodyText"/>
        <w:rPr/>
      </w:pPr>
      <w:r>
        <w:rPr/>
      </w:r>
    </w:p>
    <w:p>
      <w:pPr>
        <w:pStyle w:val="BodyText"/>
        <w:rPr/>
      </w:pPr>
      <w:r>
        <w:rPr/>
        <w:tab/>
        <w:t>“</w:t>
      </w:r>
      <w:r>
        <w:rPr>
          <w:u w:val="single"/>
        </w:rPr>
        <w:t>Owner Indemnitees</w:t>
      </w:r>
      <w:r>
        <w:rPr/>
        <w:t>” means Owner, Owner’s subcontractors, Lender, and each of their respective Affiliates, successors, assigns, officers, directors, and employees.</w:t>
      </w:r>
    </w:p>
    <w:p>
      <w:pPr>
        <w:pStyle w:val="BodyText"/>
        <w:rPr/>
      </w:pPr>
      <w:r>
        <w:rPr/>
      </w:r>
    </w:p>
    <w:p>
      <w:pPr>
        <w:pStyle w:val="BodyText"/>
        <w:rPr/>
      </w:pPr>
      <w:r>
        <w:rPr/>
        <w:tab/>
        <w:t>“</w:t>
      </w:r>
      <w:r>
        <w:rPr>
          <w:u w:val="single"/>
        </w:rPr>
        <w:t>Owner Indemnitor</w:t>
      </w:r>
      <w:r>
        <w:rPr/>
        <w:t>” shall have the meaning set forth in Section 18.2.</w:t>
      </w:r>
    </w:p>
    <w:p>
      <w:pPr>
        <w:pStyle w:val="BodyText"/>
        <w:rPr/>
      </w:pPr>
      <w:r>
        <w:rPr/>
      </w:r>
    </w:p>
    <w:p>
      <w:pPr>
        <w:pStyle w:val="BodyText"/>
        <w:rPr/>
      </w:pPr>
      <w:r>
        <w:rPr/>
        <w:tab/>
        <w:t>“</w:t>
      </w:r>
      <w:r>
        <w:rPr>
          <w:u w:val="single"/>
        </w:rPr>
        <w:t>Owner’s Representative</w:t>
      </w:r>
      <w:r>
        <w:rPr/>
        <w:t>” shall have the meaning set forth in Section 4.8.</w:t>
      </w:r>
    </w:p>
    <w:p>
      <w:pPr>
        <w:pStyle w:val="BodyText"/>
        <w:rPr/>
      </w:pPr>
      <w:r>
        <w:rPr/>
      </w:r>
    </w:p>
    <w:p>
      <w:pPr>
        <w:pStyle w:val="BodyText"/>
        <w:rPr/>
      </w:pPr>
      <w:r>
        <w:rPr/>
        <w:tab/>
        <w:t>“</w:t>
      </w:r>
      <w:r>
        <w:rPr>
          <w:u w:val="single"/>
        </w:rPr>
        <w:t>Parties</w:t>
      </w:r>
      <w:r>
        <w:rPr/>
        <w:t>” shall mean Contractor, Owner, and their permitted successors and assigns in accordance with this Agreement.</w:t>
      </w:r>
    </w:p>
    <w:p>
      <w:pPr>
        <w:pStyle w:val="BodyText"/>
        <w:rPr/>
      </w:pPr>
      <w:r>
        <w:rPr/>
      </w:r>
    </w:p>
    <w:p>
      <w:pPr>
        <w:pStyle w:val="BodyText"/>
        <w:rPr/>
      </w:pPr>
      <w:r>
        <w:rPr/>
        <w:tab/>
        <w:t>“</w:t>
      </w:r>
      <w:r>
        <w:rPr>
          <w:u w:val="single"/>
        </w:rPr>
        <w:t>Performance Guaranties</w:t>
      </w:r>
      <w:r>
        <w:rPr/>
        <w:t>” shall mean the Net Electrical Output Guaranty, Heat Rate Guaranty, Power Plant Steam Output Guaranty, Auxiliary Boiler Steam Output Guaranty, and Auxiliary Boiler Efficiency Guaranty.</w:t>
      </w:r>
    </w:p>
    <w:p>
      <w:pPr>
        <w:pStyle w:val="Style2toc"/>
        <w:rPr/>
      </w:pPr>
      <w:r>
        <w:rPr/>
      </w:r>
    </w:p>
    <w:p>
      <w:pPr>
        <w:pStyle w:val="BodyText"/>
        <w:rPr/>
      </w:pPr>
      <w:r>
        <w:rPr/>
        <w:tab/>
        <w:t>“</w:t>
      </w:r>
      <w:r>
        <w:rPr>
          <w:u w:val="single"/>
        </w:rPr>
        <w:t>Performance Liquidated Damages</w:t>
      </w:r>
      <w:r>
        <w:rPr/>
        <w:t>” shall mean the Interim Liquidated Damages and the Buydown Performance Liquidated Damages collectively or independently depending upon context of use.</w:t>
      </w:r>
    </w:p>
    <w:p>
      <w:pPr>
        <w:pStyle w:val="BodyText"/>
        <w:rPr/>
      </w:pPr>
      <w:r>
        <w:rPr/>
      </w:r>
    </w:p>
    <w:p>
      <w:pPr>
        <w:pStyle w:val="BodyText"/>
        <w:rPr/>
      </w:pPr>
      <w:r>
        <w:rPr/>
        <w:tab/>
        <w:t>“</w:t>
      </w:r>
      <w:r>
        <w:rPr>
          <w:u w:val="single"/>
        </w:rPr>
        <w:t>Performance Test</w:t>
      </w:r>
      <w:r>
        <w:rPr/>
        <w:t>” shall mean any of the Reliability Test, Heat Rate Test, Net Electrical Output Test, Power Plant Steam Output Test, Auxiliary Boiler Test, Sound Level Test, or Emissions Test.</w:t>
      </w:r>
    </w:p>
    <w:p>
      <w:pPr>
        <w:pStyle w:val="BodyText"/>
        <w:rPr/>
      </w:pPr>
      <w:r>
        <w:rPr/>
      </w:r>
    </w:p>
    <w:p>
      <w:pPr>
        <w:pStyle w:val="BodyText"/>
        <w:rPr/>
      </w:pPr>
      <w:r>
        <w:rPr/>
        <w:tab/>
        <w:t>“</w:t>
      </w:r>
      <w:r>
        <w:rPr>
          <w:u w:val="single"/>
        </w:rPr>
        <w:t>Person</w:t>
      </w:r>
      <w:r>
        <w:rPr/>
        <w:t>” shall mean any natural person, corporation, company, partnership (general or limited), limited liability company, business trust, association, or other entity.</w:t>
      </w:r>
    </w:p>
    <w:p>
      <w:pPr>
        <w:pStyle w:val="BodyText"/>
        <w:rPr/>
      </w:pPr>
      <w:r>
        <w:rPr/>
      </w:r>
    </w:p>
    <w:p>
      <w:pPr>
        <w:pStyle w:val="BodyText"/>
        <w:rPr/>
      </w:pPr>
      <w:r>
        <w:rPr/>
        <w:tab/>
        <w:t>“</w:t>
      </w:r>
      <w:r>
        <w:rPr>
          <w:u w:val="single"/>
        </w:rPr>
        <w:t>PGPB</w:t>
      </w:r>
      <w:r>
        <w:rPr/>
        <w:t>” shall mean Pemex-Gas y Petroquímica Básica.</w:t>
      </w:r>
    </w:p>
    <w:p>
      <w:pPr>
        <w:pStyle w:val="BodyText"/>
        <w:rPr/>
      </w:pPr>
      <w:r>
        <w:rPr/>
      </w:r>
    </w:p>
    <w:p>
      <w:pPr>
        <w:pStyle w:val="BodyText"/>
        <w:rPr/>
      </w:pPr>
      <w:r>
        <w:rPr/>
        <w:tab/>
        <w:t>“</w:t>
      </w:r>
      <w:r>
        <w:rPr>
          <w:u w:val="single"/>
        </w:rPr>
        <w:t>PGPB Standards</w:t>
      </w:r>
      <w:r>
        <w:rPr/>
        <w:t>” shall mean the technical standards and specifications established under the interconnection agreement to be entered between PGPB and Owner for the interconnection of the Branch Line and PGPB’s gas transportation lines; which standards and specifications shall be applicable only with respect to the PGPB Facilities.</w:t>
      </w:r>
    </w:p>
    <w:p>
      <w:pPr>
        <w:pStyle w:val="BodyText"/>
        <w:rPr/>
      </w:pPr>
      <w:r>
        <w:rPr/>
      </w:r>
    </w:p>
    <w:p>
      <w:pPr>
        <w:pStyle w:val="BodyText"/>
        <w:rPr/>
      </w:pPr>
      <w:r>
        <w:rPr/>
        <w:tab/>
        <w:t>“</w:t>
      </w:r>
      <w:r>
        <w:rPr>
          <w:u w:val="single"/>
        </w:rPr>
        <w:t>Power Plant Steam Output Guaranty</w:t>
      </w:r>
      <w:r>
        <w:rPr/>
        <w:t>” shall have the meanings set forth in Exhibit E</w:t>
        <w:noBreakHyphen/>
        <w:t>1.</w:t>
      </w:r>
      <w:r>
        <w:rPr>
          <w:u w:val="single"/>
        </w:rPr>
        <w:t xml:space="preserve"> </w:t>
      </w:r>
    </w:p>
    <w:p>
      <w:pPr>
        <w:pStyle w:val="BodyText"/>
        <w:rPr>
          <w:u w:val="single"/>
        </w:rPr>
      </w:pPr>
      <w:r>
        <w:rPr>
          <w:u w:val="single"/>
        </w:rPr>
      </w:r>
    </w:p>
    <w:p>
      <w:pPr>
        <w:pStyle w:val="BodyText"/>
        <w:ind w:hanging="720" w:start="720" w:end="0"/>
        <w:rPr/>
      </w:pPr>
      <w:r>
        <w:rPr/>
        <w:tab/>
        <w:t>“</w:t>
      </w:r>
      <w:r>
        <w:rPr>
          <w:u w:val="single"/>
        </w:rPr>
        <w:t>Power Plant Steam Output Test</w:t>
      </w:r>
      <w:r>
        <w:rPr/>
        <w:t>” shall mean a test, conducted in accordance with the procedures developed pursuant to the guidelines set forth in Exhibit E-3, to determine the Steam production of the Facility without the use of the Auxiliary Boiler.</w:t>
      </w:r>
    </w:p>
    <w:p>
      <w:pPr>
        <w:pStyle w:val="BodyText"/>
        <w:rPr/>
      </w:pPr>
      <w:r>
        <w:rPr/>
      </w:r>
    </w:p>
    <w:p>
      <w:pPr>
        <w:pStyle w:val="BodyText"/>
        <w:rPr/>
      </w:pPr>
      <w:r>
        <w:rPr/>
        <w:tab/>
        <w:t>“</w:t>
      </w:r>
      <w:r>
        <w:rPr>
          <w:u w:val="single"/>
        </w:rPr>
        <w:t>Project Agreements</w:t>
      </w:r>
      <w:r>
        <w:rPr/>
        <w:t>” shall mean those agreements set forth on Exhibit G-1.</w:t>
      </w:r>
    </w:p>
    <w:p>
      <w:pPr>
        <w:pStyle w:val="BodyText"/>
        <w:rPr/>
      </w:pPr>
      <w:r>
        <w:rPr/>
      </w:r>
    </w:p>
    <w:p>
      <w:pPr>
        <w:pStyle w:val="BodyText"/>
        <w:rPr/>
      </w:pPr>
      <w:r>
        <w:rPr/>
        <w:tab/>
        <w:t>“</w:t>
      </w:r>
      <w:r>
        <w:rPr>
          <w:u w:val="single"/>
        </w:rPr>
        <w:t>Project Schedule</w:t>
      </w:r>
      <w:r>
        <w:rPr/>
        <w:t>” shall have the meaning set forth in Section 5.2.1.</w:t>
      </w:r>
    </w:p>
    <w:p>
      <w:pPr>
        <w:pStyle w:val="BodyText"/>
        <w:rPr/>
      </w:pPr>
      <w:r>
        <w:rPr/>
      </w:r>
    </w:p>
    <w:p>
      <w:pPr>
        <w:pStyle w:val="BodyText"/>
        <w:rPr/>
      </w:pPr>
      <w:r>
        <w:rPr/>
        <w:tab/>
        <w:t>“</w:t>
      </w:r>
      <w:r>
        <w:rPr>
          <w:u w:val="single"/>
        </w:rPr>
        <w:t>Project Schedule Summary</w:t>
      </w:r>
      <w:r>
        <w:rPr/>
        <w:t>” shall mean the summary schedule set forth in Exhibit A.</w:t>
      </w:r>
    </w:p>
    <w:p>
      <w:pPr>
        <w:pStyle w:val="BodyText"/>
        <w:rPr/>
      </w:pPr>
      <w:r>
        <w:rPr/>
      </w:r>
    </w:p>
    <w:p>
      <w:pPr>
        <w:pStyle w:val="BodyText"/>
        <w:rPr/>
      </w:pPr>
      <w:r>
        <w:rPr/>
        <w:tab/>
        <w:t>“</w:t>
      </w:r>
      <w:r>
        <w:rPr>
          <w:u w:val="single"/>
        </w:rPr>
        <w:t>Provisional Acceptance</w:t>
      </w:r>
      <w:r>
        <w:rPr/>
        <w:t xml:space="preserve">” shall have the meaning set forth in Section 11.2. </w:t>
      </w:r>
    </w:p>
    <w:p>
      <w:pPr>
        <w:pStyle w:val="BodyText"/>
        <w:rPr/>
      </w:pPr>
      <w:r>
        <w:rPr/>
      </w:r>
    </w:p>
    <w:p>
      <w:pPr>
        <w:pStyle w:val="BodyText"/>
        <w:rPr/>
      </w:pPr>
      <w:r>
        <w:rPr/>
        <w:tab/>
        <w:t>“</w:t>
      </w:r>
      <w:r>
        <w:rPr>
          <w:u w:val="single"/>
        </w:rPr>
        <w:t>Provisional Acceptance Certificate</w:t>
      </w:r>
      <w:r>
        <w:rPr/>
        <w:t>” shall have the meaning set forth in Section 11.2.</w:t>
      </w:r>
    </w:p>
    <w:p>
      <w:pPr>
        <w:pStyle w:val="BodyText"/>
        <w:rPr/>
      </w:pPr>
      <w:r>
        <w:rPr/>
      </w:r>
    </w:p>
    <w:p>
      <w:pPr>
        <w:pStyle w:val="BodyText"/>
        <w:ind w:firstLine="720" w:end="0"/>
        <w:rPr/>
      </w:pPr>
      <w:r>
        <w:rPr/>
        <w:t>“</w:t>
      </w:r>
      <w:r>
        <w:rPr>
          <w:u w:val="single"/>
        </w:rPr>
        <w:t>Provisional Acceptance Limit</w:t>
      </w:r>
      <w:r>
        <w:rPr/>
        <w:t>” shall have the meaning set forth in Section 14.1.</w:t>
      </w:r>
    </w:p>
    <w:p>
      <w:pPr>
        <w:pStyle w:val="BodyText"/>
        <w:rPr/>
      </w:pPr>
      <w:r>
        <w:rPr/>
      </w:r>
    </w:p>
    <w:p>
      <w:pPr>
        <w:pStyle w:val="BodyText"/>
        <w:rPr/>
      </w:pPr>
      <w:r>
        <w:rPr/>
        <w:tab/>
        <w:t>“</w:t>
      </w:r>
      <w:r>
        <w:rPr>
          <w:u w:val="single"/>
        </w:rPr>
        <w:t>Punchlist</w:t>
      </w:r>
      <w:r>
        <w:rPr/>
        <w:t>” shall have the meaning set forth in Section 11.5.1.</w:t>
      </w:r>
    </w:p>
    <w:p>
      <w:pPr>
        <w:pStyle w:val="BodyText"/>
        <w:rPr/>
      </w:pPr>
      <w:r>
        <w:rPr/>
      </w:r>
    </w:p>
    <w:p>
      <w:pPr>
        <w:pStyle w:val="BodyText"/>
        <w:rPr/>
      </w:pPr>
      <w:r>
        <w:rPr/>
        <w:tab/>
        <w:t>“</w:t>
      </w:r>
      <w:r>
        <w:rPr>
          <w:u w:val="single"/>
        </w:rPr>
        <w:t>Punchlist Item</w:t>
      </w:r>
      <w:r>
        <w:rPr/>
        <w:t>” means any uncompleted part of the Facility that (considered individually or in the aggregate of all Punchlist Items) does not or will not adversely affect the performance of the Facility or the ability of Owner to operate the Facility in the ordinary course of business in accordance with GIIP.</w:t>
      </w:r>
    </w:p>
    <w:p>
      <w:pPr>
        <w:pStyle w:val="BodyText"/>
        <w:rPr/>
      </w:pPr>
      <w:r>
        <w:rPr/>
      </w:r>
    </w:p>
    <w:p>
      <w:pPr>
        <w:pStyle w:val="BodyText"/>
        <w:rPr/>
      </w:pPr>
      <w:r>
        <w:rPr/>
        <w:tab/>
        <w:t>“</w:t>
      </w:r>
      <w:r>
        <w:rPr>
          <w:u w:val="single"/>
        </w:rPr>
        <w:t>Punchlist Withholding</w:t>
      </w:r>
      <w:r>
        <w:rPr/>
        <w:t>” shall have the meaning set forth in Section 11.5.2.</w:t>
      </w:r>
    </w:p>
    <w:p>
      <w:pPr>
        <w:pStyle w:val="BodyText"/>
        <w:rPr/>
      </w:pPr>
      <w:r>
        <w:rPr/>
      </w:r>
    </w:p>
    <w:p>
      <w:pPr>
        <w:pStyle w:val="BodyText"/>
        <w:rPr/>
      </w:pPr>
      <w:r>
        <w:rPr/>
        <w:tab/>
        <w:t>“</w:t>
      </w:r>
      <w:r>
        <w:rPr>
          <w:u w:val="single"/>
        </w:rPr>
        <w:t>Reliability</w:t>
      </w:r>
      <w:r>
        <w:rPr/>
        <w:t>” shall have the meaning as set out in subparagraph (iv) (Procedures) of paragraph 2.4 of Exhibit E-3.</w:t>
      </w:r>
    </w:p>
    <w:p>
      <w:pPr>
        <w:pStyle w:val="BodyText"/>
        <w:rPr/>
      </w:pPr>
      <w:r>
        <w:rPr/>
      </w:r>
    </w:p>
    <w:p>
      <w:pPr>
        <w:pStyle w:val="BodyText"/>
        <w:rPr/>
      </w:pPr>
      <w:r>
        <w:rPr/>
        <w:tab/>
        <w:t>“</w:t>
      </w:r>
      <w:r>
        <w:rPr>
          <w:u w:val="single"/>
        </w:rPr>
        <w:t>Reliability Guaranty</w:t>
      </w:r>
      <w:r>
        <w:rPr/>
        <w:t>” shall have the meaning set forth in Exhibit E-1.</w:t>
      </w:r>
    </w:p>
    <w:p>
      <w:pPr>
        <w:pStyle w:val="BodyText"/>
        <w:rPr/>
      </w:pPr>
      <w:r>
        <w:rPr/>
      </w:r>
    </w:p>
    <w:p>
      <w:pPr>
        <w:pStyle w:val="BodyText"/>
        <w:rPr/>
      </w:pPr>
      <w:r>
        <w:rPr/>
        <w:tab/>
        <w:t>“</w:t>
      </w:r>
      <w:r>
        <w:rPr>
          <w:u w:val="single"/>
        </w:rPr>
        <w:t>Reliability Test</w:t>
      </w:r>
      <w:r>
        <w:rPr/>
        <w:t>” shall mean a test of the Reliability of the Facility, conducted</w:t>
      </w:r>
      <w:r>
        <w:rPr>
          <w:b/>
        </w:rPr>
        <w:t xml:space="preserve"> </w:t>
      </w:r>
      <w:r>
        <w:rPr/>
        <w:t>in accordance with the procedures developed pursuant to the guidelines set forth in Exhibit E-3, to demonstrate the Reliability of the Facility.</w:t>
      </w:r>
    </w:p>
    <w:p>
      <w:pPr>
        <w:pStyle w:val="BodyText"/>
        <w:rPr/>
      </w:pPr>
      <w:r>
        <w:rPr/>
      </w:r>
    </w:p>
    <w:p>
      <w:pPr>
        <w:pStyle w:val="BodyText"/>
        <w:rPr/>
      </w:pPr>
      <w:r>
        <w:rPr/>
        <w:tab/>
        <w:t>“</w:t>
      </w:r>
      <w:r>
        <w:rPr>
          <w:u w:val="single"/>
        </w:rPr>
        <w:t>Replacement Contractor</w:t>
      </w:r>
      <w:r>
        <w:rPr/>
        <w:t>” shall have the meaning set forth in Section 16.1.3.</w:t>
      </w:r>
    </w:p>
    <w:p>
      <w:pPr>
        <w:pStyle w:val="BodyText"/>
        <w:rPr/>
      </w:pPr>
      <w:r>
        <w:rPr/>
      </w:r>
    </w:p>
    <w:p>
      <w:pPr>
        <w:pStyle w:val="BodyText"/>
        <w:rPr/>
      </w:pPr>
      <w:r>
        <w:rPr/>
        <w:tab/>
        <w:t>“</w:t>
      </w:r>
      <w:r>
        <w:rPr>
          <w:u w:val="single"/>
        </w:rPr>
        <w:t>Representatives</w:t>
      </w:r>
      <w:r>
        <w:rPr/>
        <w:t>” shall have the meaning set forth in Section 20.1.</w:t>
      </w:r>
    </w:p>
    <w:p>
      <w:pPr>
        <w:pStyle w:val="BodyText"/>
        <w:rPr/>
      </w:pPr>
      <w:r>
        <w:rPr/>
      </w:r>
    </w:p>
    <w:p>
      <w:pPr>
        <w:pStyle w:val="BodyText"/>
        <w:rPr/>
      </w:pPr>
      <w:r>
        <w:rPr/>
        <w:tab/>
        <w:t>“</w:t>
      </w:r>
      <w:r>
        <w:rPr>
          <w:u w:val="single"/>
        </w:rPr>
        <w:t>Retainage</w:t>
      </w:r>
      <w:r>
        <w:rPr/>
        <w:t>” shall have the meaning set forth in Section 7.2.4.</w:t>
      </w:r>
    </w:p>
    <w:p>
      <w:pPr>
        <w:pStyle w:val="BodyText"/>
        <w:rPr/>
      </w:pPr>
      <w:r>
        <w:rPr/>
      </w:r>
    </w:p>
    <w:p>
      <w:pPr>
        <w:pStyle w:val="BodyText"/>
        <w:rPr/>
      </w:pPr>
      <w:r>
        <w:rPr/>
        <w:tab/>
        <w:t>“</w:t>
      </w:r>
      <w:r>
        <w:rPr>
          <w:u w:val="single"/>
        </w:rPr>
        <w:t>Retention Bond</w:t>
      </w:r>
      <w:r>
        <w:rPr/>
        <w:t>” shall have the meaning set forth in Section 21.1.</w:t>
      </w:r>
    </w:p>
    <w:p>
      <w:pPr>
        <w:pStyle w:val="BodyText"/>
        <w:rPr/>
      </w:pPr>
      <w:r>
        <w:rPr/>
      </w:r>
    </w:p>
    <w:p>
      <w:pPr>
        <w:pStyle w:val="BodyText"/>
        <w:rPr/>
      </w:pPr>
      <w:r>
        <w:rPr/>
        <w:tab/>
        <w:t>“</w:t>
      </w:r>
      <w:r>
        <w:rPr>
          <w:u w:val="single"/>
        </w:rPr>
        <w:t>Scope of Work</w:t>
      </w:r>
      <w:r>
        <w:rPr/>
        <w:t>” shall mean the description of Work to be performed and Equipment to be provided by Contractor as set forth in Article 3.</w:t>
      </w:r>
    </w:p>
    <w:p>
      <w:pPr>
        <w:pStyle w:val="BodyText"/>
        <w:rPr/>
      </w:pPr>
      <w:r>
        <w:rPr/>
      </w:r>
    </w:p>
    <w:p>
      <w:pPr>
        <w:pStyle w:val="BodyText"/>
        <w:rPr/>
      </w:pPr>
      <w:r>
        <w:rPr/>
        <w:tab/>
        <w:t>“</w:t>
      </w:r>
      <w:r>
        <w:rPr>
          <w:u w:val="single"/>
        </w:rPr>
        <w:t>Security</w:t>
      </w:r>
      <w:r>
        <w:rPr/>
        <w:t>” shall mean the Retention Bond and the Collateral Guaranty together with any other security for the benefit of Owner for any of the obligations of Contractor under this Agreement.</w:t>
      </w:r>
    </w:p>
    <w:p>
      <w:pPr>
        <w:pStyle w:val="BodyText"/>
        <w:rPr/>
      </w:pPr>
      <w:r>
        <w:rPr/>
      </w:r>
    </w:p>
    <w:p>
      <w:pPr>
        <w:pStyle w:val="BodyText"/>
        <w:rPr/>
      </w:pPr>
      <w:r>
        <w:rPr/>
        <w:tab/>
        <w:t>“</w:t>
      </w:r>
      <w:r>
        <w:rPr>
          <w:u w:val="single"/>
        </w:rPr>
        <w:t>Site</w:t>
      </w:r>
      <w:r>
        <w:rPr/>
        <w:t>” shall mean the real property described in Exhibit B-1.</w:t>
      </w:r>
    </w:p>
    <w:p>
      <w:pPr>
        <w:pStyle w:val="BodyText"/>
        <w:rPr/>
      </w:pPr>
      <w:r>
        <w:rPr/>
      </w:r>
    </w:p>
    <w:p>
      <w:pPr>
        <w:pStyle w:val="BodyText"/>
        <w:rPr/>
      </w:pPr>
      <w:r>
        <w:rPr/>
        <w:tab/>
        <w:t>“</w:t>
      </w:r>
      <w:r>
        <w:rPr>
          <w:u w:val="single"/>
        </w:rPr>
        <w:t>Sound Level Guaranty</w:t>
      </w:r>
      <w:r>
        <w:rPr/>
        <w:t>” shall mean the Near Source Sound Level Guaranty and the Far Field Sound Level Guaranty set forth in Exhibit E-1.</w:t>
      </w:r>
    </w:p>
    <w:p>
      <w:pPr>
        <w:pStyle w:val="BodyText"/>
        <w:rPr/>
      </w:pPr>
      <w:r>
        <w:rPr/>
      </w:r>
    </w:p>
    <w:p>
      <w:pPr>
        <w:pStyle w:val="BodyText"/>
        <w:rPr>
          <w:u w:val="single"/>
        </w:rPr>
      </w:pPr>
      <w:r>
        <w:rPr/>
        <w:tab/>
        <w:t>“</w:t>
      </w:r>
      <w:r>
        <w:rPr>
          <w:u w:val="single"/>
        </w:rPr>
        <w:t>Sound Level Test</w:t>
      </w:r>
      <w:r>
        <w:rPr/>
        <w:t>” shall mean a test, conducted in accordance with the procedures developed pursuant to the guidelines set forth in Exhibit E-3, to determine the sound levels of the Facility.</w:t>
      </w:r>
    </w:p>
    <w:p>
      <w:pPr>
        <w:pStyle w:val="BodyText"/>
        <w:rPr>
          <w:u w:val="single"/>
        </w:rPr>
      </w:pPr>
      <w:r>
        <w:rPr>
          <w:u w:val="single"/>
        </w:rPr>
      </w:r>
    </w:p>
    <w:p>
      <w:pPr>
        <w:pStyle w:val="BodyText"/>
        <w:rPr/>
      </w:pPr>
      <w:r>
        <w:rPr/>
        <w:tab/>
        <w:t>“</w:t>
      </w:r>
      <w:r>
        <w:rPr>
          <w:u w:val="single"/>
        </w:rPr>
        <w:t>Specification Rights</w:t>
      </w:r>
      <w:r>
        <w:rPr/>
        <w:t>” shall have the meaning set forth in Section 8.1.3.</w:t>
      </w:r>
    </w:p>
    <w:p>
      <w:pPr>
        <w:pStyle w:val="BodyText"/>
        <w:rPr/>
      </w:pPr>
      <w:r>
        <w:rPr/>
      </w:r>
    </w:p>
    <w:p>
      <w:pPr>
        <w:pStyle w:val="BodyText"/>
        <w:rPr/>
      </w:pPr>
      <w:r>
        <w:rPr/>
        <w:tab/>
        <w:t>“</w:t>
      </w:r>
      <w:r>
        <w:rPr>
          <w:u w:val="single"/>
        </w:rPr>
        <w:t>Specifications</w:t>
      </w:r>
      <w:r>
        <w:rPr/>
        <w:t>” shall mean the specifications set forth in Exhibit B-1.</w:t>
      </w:r>
    </w:p>
    <w:p>
      <w:pPr>
        <w:pStyle w:val="BodyText"/>
        <w:rPr/>
      </w:pPr>
      <w:r>
        <w:rPr/>
      </w:r>
    </w:p>
    <w:p>
      <w:pPr>
        <w:pStyle w:val="BodyText"/>
        <w:rPr/>
      </w:pPr>
      <w:r>
        <w:rPr/>
        <w:tab/>
        <w:t>“</w:t>
      </w:r>
      <w:r>
        <w:rPr>
          <w:u w:val="single"/>
        </w:rPr>
        <w:t>Steam</w:t>
      </w:r>
      <w:r>
        <w:rPr/>
        <w:t>” shall mean steam meeting the specifications set forth in Exhibit E-1.</w:t>
      </w:r>
    </w:p>
    <w:p>
      <w:pPr>
        <w:pStyle w:val="BodyText"/>
        <w:rPr/>
      </w:pPr>
      <w:r>
        <w:rPr/>
      </w:r>
    </w:p>
    <w:p>
      <w:pPr>
        <w:pStyle w:val="BodyText"/>
        <w:rPr/>
      </w:pPr>
      <w:r>
        <w:rPr/>
        <w:tab/>
        <w:t>“</w:t>
      </w:r>
      <w:r>
        <w:rPr>
          <w:u w:val="single"/>
        </w:rPr>
        <w:t>Steam Output</w:t>
      </w:r>
      <w:r>
        <w:rPr/>
        <w:t>” shall mean the Steam output of the Facility (without the use of the Auxiliary Boiler) as measured during a Power Plant Steam Output Test and adjusted from test conditions to Basis Conditions by the methods described in Exhibit E-3.</w:t>
      </w:r>
    </w:p>
    <w:p>
      <w:pPr>
        <w:pStyle w:val="BodyText"/>
        <w:rPr/>
      </w:pPr>
      <w:r>
        <w:rPr/>
      </w:r>
    </w:p>
    <w:p>
      <w:pPr>
        <w:pStyle w:val="BodyText"/>
        <w:rPr/>
      </w:pPr>
      <w:r>
        <w:rPr/>
        <w:tab/>
        <w:t>“</w:t>
      </w:r>
      <w:r>
        <w:rPr>
          <w:u w:val="single"/>
        </w:rPr>
        <w:t>Steam Purchaser</w:t>
      </w:r>
      <w:r>
        <w:rPr/>
        <w:t>” and “</w:t>
      </w:r>
      <w:r>
        <w:rPr>
          <w:u w:val="single"/>
        </w:rPr>
        <w:t>Steam Host</w:t>
      </w:r>
      <w:r>
        <w:rPr/>
        <w:t>” shall mean Industria del Alcali S.A. de C.V. and its successors and permitted assigns.</w:t>
      </w:r>
    </w:p>
    <w:p>
      <w:pPr>
        <w:pStyle w:val="BodyText"/>
        <w:rPr/>
      </w:pPr>
      <w:r>
        <w:rPr/>
      </w:r>
    </w:p>
    <w:p>
      <w:pPr>
        <w:pStyle w:val="BodyText"/>
        <w:rPr/>
      </w:pPr>
      <w:r>
        <w:rPr/>
        <w:tab/>
        <w:t>“</w:t>
      </w:r>
      <w:r>
        <w:rPr>
          <w:u w:val="single"/>
        </w:rPr>
        <w:t>Subcontract</w:t>
      </w:r>
      <w:r>
        <w:rPr/>
        <w:t>” shall mean an agreement between Contractor and a Subcontractor or a Subcontractor and any other Subcontractor for the performance of any portion of the Work.</w:t>
      </w:r>
    </w:p>
    <w:p>
      <w:pPr>
        <w:pStyle w:val="BodyText"/>
        <w:rPr/>
      </w:pPr>
      <w:r>
        <w:rPr/>
      </w:r>
    </w:p>
    <w:p>
      <w:pPr>
        <w:pStyle w:val="BodyText"/>
        <w:rPr/>
      </w:pPr>
      <w:r>
        <w:rPr/>
        <w:tab/>
        <w:t>“</w:t>
      </w:r>
      <w:r>
        <w:rPr>
          <w:u w:val="single"/>
        </w:rPr>
        <w:t>Subcontractor</w:t>
      </w:r>
      <w:r>
        <w:rPr/>
        <w:t>” shall mean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rPr/>
      </w:pPr>
      <w:r>
        <w:rPr/>
      </w:r>
    </w:p>
    <w:p>
      <w:pPr>
        <w:pStyle w:val="BodyText"/>
        <w:rPr/>
      </w:pPr>
      <w:r>
        <w:rPr/>
        <w:tab/>
        <w:t>“</w:t>
      </w:r>
      <w:r>
        <w:rPr>
          <w:u w:val="single"/>
        </w:rPr>
        <w:t>Termination Amount</w:t>
      </w:r>
      <w:r>
        <w:rPr/>
        <w:t>” shall have the meaning set forth in Section 16.1.5.</w:t>
      </w:r>
    </w:p>
    <w:p>
      <w:pPr>
        <w:pStyle w:val="BodyText"/>
        <w:rPr/>
      </w:pPr>
      <w:r>
        <w:rPr/>
      </w:r>
    </w:p>
    <w:p>
      <w:pPr>
        <w:pStyle w:val="BodyText"/>
        <w:rPr/>
      </w:pPr>
      <w:r>
        <w:rPr/>
        <w:tab/>
        <w:t>“</w:t>
      </w:r>
      <w:r>
        <w:rPr>
          <w:u w:val="single"/>
        </w:rPr>
        <w:t>Termination Expenses</w:t>
      </w:r>
      <w:r>
        <w:rPr/>
        <w:t>” shall have the meaning set forth in Section 16.2.3.1.</w:t>
      </w:r>
    </w:p>
    <w:p>
      <w:pPr>
        <w:pStyle w:val="BodyText"/>
        <w:rPr/>
      </w:pPr>
      <w:r>
        <w:rPr/>
      </w:r>
    </w:p>
    <w:p>
      <w:pPr>
        <w:pStyle w:val="BodyText"/>
        <w:rPr/>
      </w:pPr>
      <w:r>
        <w:rPr/>
        <w:tab/>
        <w:t>“</w:t>
      </w:r>
      <w:r>
        <w:rPr>
          <w:u w:val="single"/>
        </w:rPr>
        <w:t>USD, U.S. Dollars or $</w:t>
      </w:r>
      <w:r>
        <w:rPr/>
        <w:t>” shall mean lawful currency of the United States of America.</w:t>
      </w:r>
    </w:p>
    <w:p>
      <w:pPr>
        <w:pStyle w:val="BodyText"/>
        <w:rPr/>
      </w:pPr>
      <w:r>
        <w:rPr/>
      </w:r>
    </w:p>
    <w:p>
      <w:pPr>
        <w:pStyle w:val="BodyText"/>
        <w:rPr/>
      </w:pPr>
      <w:r>
        <w:rPr/>
        <w:tab/>
        <w:t>“</w:t>
      </w:r>
      <w:r>
        <w:rPr>
          <w:u w:val="single"/>
        </w:rPr>
        <w:t>Utility</w:t>
      </w:r>
      <w:r>
        <w:rPr/>
        <w:t>” shall mean CFE an entity from whom Owner intends to buy electrical power for the Facility.</w:t>
      </w:r>
    </w:p>
    <w:p>
      <w:pPr>
        <w:pStyle w:val="BodyText"/>
        <w:rPr/>
      </w:pPr>
      <w:r>
        <w:rPr/>
      </w:r>
    </w:p>
    <w:p>
      <w:pPr>
        <w:pStyle w:val="BodyText"/>
        <w:rPr/>
      </w:pPr>
      <w:r>
        <w:rPr/>
        <w:tab/>
        <w:t>“</w:t>
      </w:r>
      <w:r>
        <w:rPr>
          <w:u w:val="single"/>
        </w:rPr>
        <w:t>Warranty Period</w:t>
      </w:r>
      <w:r>
        <w:rPr/>
        <w:t>” shall have the meaning set forth in Section 12.2.</w:t>
      </w:r>
    </w:p>
    <w:p>
      <w:pPr>
        <w:pStyle w:val="BodyText"/>
        <w:rPr/>
      </w:pPr>
      <w:r>
        <w:rPr/>
      </w:r>
    </w:p>
    <w:p>
      <w:pPr>
        <w:pStyle w:val="BodyText"/>
        <w:rPr/>
      </w:pPr>
      <w:r>
        <w:rPr/>
        <w:tab/>
        <w:t>“</w:t>
      </w:r>
      <w:r>
        <w:rPr>
          <w:u w:val="single"/>
        </w:rPr>
        <w:t>Work</w:t>
      </w:r>
      <w:r>
        <w:rPr/>
        <w:t>” shall mean all Equipment and other structures, instruments, facilities and materials included or to be included in the Facility and all obligations, duties and responsibilities assigned to or undertaken by Contractor pursuant to this Agreement.</w:t>
      </w:r>
    </w:p>
    <w:p>
      <w:pPr>
        <w:pStyle w:val="BodyText"/>
        <w:rPr/>
      </w:pPr>
      <w:r>
        <w:rPr/>
      </w:r>
    </w:p>
    <w:p>
      <w:pPr>
        <w:pStyle w:val="BodyText"/>
        <w:rPr/>
      </w:pPr>
      <w:r>
        <w:rPr/>
        <w:t>1.2</w:t>
        <w:tab/>
      </w:r>
      <w:r>
        <w:rPr>
          <w:u w:val="single"/>
        </w:rPr>
        <w:t>Rules of Interpretation</w:t>
      </w:r>
      <w:r>
        <w:fldChar w:fldCharType="begin"/>
      </w:r>
      <w:r>
        <w:rPr/>
        <w:instrText xml:space="preserve"> TC "1.2</w:instrText>
        <w:tab/>
        <w:instrText xml:space="preserve">Rules of Interpretation" \l 2 </w:instrText>
      </w:r>
      <w:r>
        <w:rPr/>
        <w:fldChar w:fldCharType="separate"/>
      </w:r>
      <w:r>
        <w:rPr/>
      </w:r>
      <w:r>
        <w:rPr/>
        <w:fldChar w:fldCharType="end"/>
      </w:r>
      <w:bookmarkStart w:id="2" w:name="__RefHeading___Toc482936795"/>
      <w:bookmarkEnd w:id="2"/>
      <w:r>
        <w:rPr/>
        <w:t>.  The following principles shall be observed in the interpretation and construction of this Agreement:</w:t>
      </w:r>
    </w:p>
    <w:p>
      <w:pPr>
        <w:pStyle w:val="BodyText"/>
        <w:rPr/>
      </w:pPr>
      <w:r>
        <w:rPr/>
      </w:r>
    </w:p>
    <w:p>
      <w:pPr>
        <w:pStyle w:val="BodyText"/>
        <w:rPr/>
      </w:pPr>
      <w:r>
        <w:rPr/>
        <w:tab/>
        <w:t>(a)</w:t>
        <w:tab/>
        <w:t>references to the singular include the plural and vice versa, and references to one gender include the other gender;</w:t>
      </w:r>
    </w:p>
    <w:p>
      <w:pPr>
        <w:pStyle w:val="BodyText"/>
        <w:rPr/>
      </w:pPr>
      <w:r>
        <w:rPr/>
      </w:r>
    </w:p>
    <w:p>
      <w:pPr>
        <w:pStyle w:val="BodyText"/>
        <w:rPr/>
      </w:pPr>
      <w:r>
        <w:rPr/>
        <w:tab/>
        <w:t>(b)</w:t>
        <w:tab/>
        <w:t>references to the Preamble, Preliminary Statements, Articles, Sections, and Exhibits are, unless the context indicates otherwise, references to the Preamble, Preliminary Statements, Articles, and Sections of, and Exhibits to, this Agreement;</w:t>
      </w:r>
    </w:p>
    <w:p>
      <w:pPr>
        <w:pStyle w:val="BodyText"/>
        <w:rPr/>
      </w:pPr>
      <w:r>
        <w:rPr/>
      </w:r>
    </w:p>
    <w:p>
      <w:pPr>
        <w:pStyle w:val="BodyText"/>
        <w:rPr/>
      </w:pPr>
      <w:r>
        <w:rPr/>
        <w:tab/>
        <w:t>(c)</w:t>
        <w:tab/>
        <w:t>in carrying out its rights, obligations, and duties under this Agreement, each Party shall have an obligation of good faith;</w:t>
      </w:r>
    </w:p>
    <w:p>
      <w:pPr>
        <w:pStyle w:val="BodyText"/>
        <w:rPr/>
      </w:pPr>
      <w:r>
        <w:rPr/>
      </w:r>
    </w:p>
    <w:p>
      <w:pPr>
        <w:pStyle w:val="BodyText"/>
        <w:rPr/>
      </w:pPr>
      <w:r>
        <w:rPr/>
        <w:tab/>
        <w:t>(d)</w:t>
        <w:tab/>
        <w:t xml:space="preserve">unless otherwise stated or unless the context indicates otherwise, the terms </w:t>
      </w:r>
      <w:r>
        <w:rPr>
          <w:b/>
          <w:i/>
        </w:rPr>
        <w:t>include</w:t>
      </w:r>
      <w:r>
        <w:rPr/>
        <w:t xml:space="preserve"> and </w:t>
      </w:r>
      <w:r>
        <w:rPr>
          <w:b/>
          <w:i/>
        </w:rPr>
        <w:t>including</w:t>
      </w:r>
      <w:r>
        <w:rPr/>
        <w:t xml:space="preserve"> shall be interpreted to mean </w:t>
      </w:r>
      <w:r>
        <w:rPr>
          <w:b/>
          <w:i/>
        </w:rPr>
        <w:t>including without limitation</w:t>
      </w:r>
      <w:r>
        <w:rPr/>
        <w:t xml:space="preserve"> and the word </w:t>
      </w:r>
      <w:r>
        <w:rPr>
          <w:b/>
          <w:i/>
        </w:rPr>
        <w:t>or</w:t>
      </w:r>
      <w:r>
        <w:rPr/>
        <w:t xml:space="preserve"> does not imply exclusivity;</w:t>
      </w:r>
    </w:p>
    <w:p>
      <w:pPr>
        <w:pStyle w:val="BodyText"/>
        <w:rPr/>
      </w:pPr>
      <w:r>
        <w:rPr/>
      </w:r>
    </w:p>
    <w:p>
      <w:pPr>
        <w:pStyle w:val="BodyText"/>
        <w:rPr/>
      </w:pPr>
      <w:r>
        <w:rPr/>
        <w:tab/>
        <w:t>(e)</w:t>
        <w:tab/>
        <w:t>notwithstanding anything to the contrary contained in the Exhibits attached to this Agreement, in the event of a conflict between any provision contained the body of this Agreement (exclusive of the Exhibits) and a provision contained in any of such Exhibits, the provisions of the body of this Agreement (exclusive of the Exhibits) shall prevail;</w:t>
      </w:r>
    </w:p>
    <w:p>
      <w:pPr>
        <w:pStyle w:val="BodyText"/>
        <w:rPr/>
      </w:pPr>
      <w:r>
        <w:rPr/>
      </w:r>
    </w:p>
    <w:p>
      <w:pPr>
        <w:pStyle w:val="BodyText"/>
        <w:rPr/>
      </w:pPr>
      <w:r>
        <w:rPr/>
        <w:tab/>
        <w:t>(f)</w:t>
        <w:tab/>
        <w:t>references to any statute or statutory provision shall include any statute or statutory provision which amends or replaces or has amended or replaced it and shall include any subordinate legislation made under any such statute; and</w:t>
      </w:r>
    </w:p>
    <w:p>
      <w:pPr>
        <w:pStyle w:val="BodyText"/>
        <w:rPr/>
      </w:pPr>
      <w:r>
        <w:rPr/>
      </w:r>
    </w:p>
    <w:p>
      <w:pPr>
        <w:pStyle w:val="BodyText"/>
        <w:rPr/>
      </w:pPr>
      <w:r>
        <w:rPr/>
        <w:tab/>
        <w:t>(g)</w:t>
        <w:tab/>
        <w:t>references to a party shall include its successors and assigns.</w:t>
      </w:r>
    </w:p>
    <w:p>
      <w:pPr>
        <w:pStyle w:val="BodyText"/>
        <w:rPr/>
      </w:pPr>
      <w:r>
        <w:rPr/>
      </w:r>
    </w:p>
    <w:p>
      <w:pPr>
        <w:pStyle w:val="Style1toc"/>
        <w:keepNext w:val="true"/>
        <w:rPr/>
      </w:pPr>
      <w:r>
        <w:rPr/>
        <w:t>ARTICLE 2</w:t>
      </w:r>
      <w:r>
        <w:fldChar w:fldCharType="begin"/>
      </w:r>
      <w:r>
        <w:rPr/>
        <w:instrText xml:space="preserve"> TC "ARTICLE 2: RELATIONSHIP OF OWNER, CONTRACTOR, SUBCONTRACTORS AND OTHERS" \l 1 </w:instrText>
      </w:r>
      <w:r>
        <w:rPr/>
        <w:fldChar w:fldCharType="separate"/>
      </w:r>
      <w:r>
        <w:rPr/>
      </w:r>
      <w:r>
        <w:rPr/>
        <w:fldChar w:fldCharType="end"/>
      </w:r>
      <w:bookmarkStart w:id="3" w:name="__RefHeading___Toc482936796"/>
      <w:bookmarkEnd w:id="3"/>
    </w:p>
    <w:p>
      <w:pPr>
        <w:pStyle w:val="Style1toc"/>
        <w:keepNext w:val="true"/>
        <w:rPr/>
      </w:pPr>
      <w:r>
        <w:rPr/>
        <w:t>RELATIONSHIP OF OWNER, CONTRACTOR, SUBCONTRACTORS AND OTHERS</w:t>
      </w:r>
    </w:p>
    <w:p>
      <w:pPr>
        <w:pStyle w:val="BodyText"/>
        <w:rPr/>
      </w:pPr>
      <w:r>
        <w:rPr/>
      </w:r>
    </w:p>
    <w:p>
      <w:pPr>
        <w:pStyle w:val="Style2toc"/>
        <w:rPr/>
      </w:pPr>
      <w:r>
        <w:rPr/>
        <w:t>2.1</w:t>
        <w:tab/>
      </w:r>
      <w:r>
        <w:rPr>
          <w:u w:val="single"/>
        </w:rPr>
        <w:t>Status of Contractor</w:t>
      </w:r>
      <w:r>
        <w:fldChar w:fldCharType="begin"/>
      </w:r>
      <w:r>
        <w:rPr/>
        <w:instrText xml:space="preserve"> TC "2.1</w:instrText>
        <w:tab/>
        <w:instrText xml:space="preserve">Status of Contractor" \l 2 </w:instrText>
      </w:r>
      <w:r>
        <w:rPr/>
        <w:fldChar w:fldCharType="separate"/>
      </w:r>
      <w:r>
        <w:rPr/>
      </w:r>
      <w:r>
        <w:rPr/>
        <w:fldChar w:fldCharType="end"/>
      </w:r>
      <w:bookmarkStart w:id="4" w:name="__RefHeading___Toc482936797"/>
      <w:bookmarkEnd w:id="4"/>
      <w:r>
        <w:rPr/>
        <w:t>.  Contractor shall perform and execute the provisions of this Agreement as an independent contractor and shall not be an agent or employee of Owner.</w:t>
      </w:r>
    </w:p>
    <w:p>
      <w:pPr>
        <w:pStyle w:val="BodyText"/>
        <w:rPr/>
      </w:pPr>
      <w:r>
        <w:rPr/>
      </w:r>
    </w:p>
    <w:p>
      <w:pPr>
        <w:pStyle w:val="Style2toc"/>
        <w:rPr/>
      </w:pPr>
      <w:r>
        <w:rPr/>
        <w:t>2.2</w:t>
        <w:tab/>
      </w:r>
      <w:r>
        <w:rPr>
          <w:u w:val="single"/>
        </w:rPr>
        <w:t>Subcontractors</w:t>
      </w:r>
      <w:r>
        <w:fldChar w:fldCharType="begin"/>
      </w:r>
      <w:r>
        <w:rPr/>
        <w:instrText xml:space="preserve"> TC "2.2</w:instrText>
        <w:tab/>
        <w:instrText xml:space="preserve">Subcontractors" \l 2 </w:instrText>
      </w:r>
      <w:r>
        <w:rPr/>
        <w:fldChar w:fldCharType="separate"/>
      </w:r>
      <w:r>
        <w:rPr/>
      </w:r>
      <w:r>
        <w:rPr/>
        <w:fldChar w:fldCharType="end"/>
      </w:r>
      <w:bookmarkStart w:id="5" w:name="__RefHeading___Toc482936798"/>
      <w:bookmarkEnd w:id="5"/>
      <w:r>
        <w:rPr/>
        <w:t>.  Owner acknowledges and agrees that Contractor may have portions of the Work accomplished by Subcontractors.  Contractor shall cause all Subcontractors to perform their work in conformity with all of the provisions of this Agreement.  No contractual relationship shall exist between Owner and any Subcontractor with respect to the Work to be performed pursuant to this Agreement, and no Subcontractor is intended to be or shall be deemed a third-party beneficiary of this Agreement.  Contractor agrees that it shall be as fully responsible to Owner for the acts and omissions of Subcontractors and of Persons directly or indirectly employed by them, as it is for the acts or omissions of Persons directly employed by Contractor. Unless Owner expressly agrees in writing to the contrary, Owner shall not be obligated to pay or see to the payment of any Subcontractor.  Entry to the contrary into any Subcontract shall not relieve Contractor of any of its obligations to perform the Work in accordance with this Agreement. Owner shall have the right, upon written request, to receive from Contractor a copy of all Subcontractor equipment specifications, performance guaranty data, and warranties, as well as a copy of all shop and field performance test reports, and vendor field representative reports with respect to Work performed by Subcontractors.</w:t>
      </w:r>
    </w:p>
    <w:p>
      <w:pPr>
        <w:pStyle w:val="BodyText"/>
        <w:rPr/>
      </w:pPr>
      <w:r>
        <w:rPr/>
      </w:r>
    </w:p>
    <w:p>
      <w:pPr>
        <w:pStyle w:val="Style2toc"/>
        <w:rPr/>
      </w:pPr>
      <w:r>
        <w:rPr/>
        <w:t>2.3</w:t>
        <w:tab/>
      </w:r>
      <w:r>
        <w:rPr>
          <w:u w:val="single"/>
        </w:rPr>
        <w:t>Subcontract Provisions</w:t>
      </w:r>
      <w:r>
        <w:fldChar w:fldCharType="begin"/>
      </w:r>
      <w:r>
        <w:rPr/>
        <w:instrText xml:space="preserve"> TC "2.3</w:instrText>
        <w:tab/>
        <w:instrText xml:space="preserve">Subcontract Provisions" \l 2 </w:instrText>
      </w:r>
      <w:r>
        <w:rPr/>
        <w:fldChar w:fldCharType="separate"/>
      </w:r>
      <w:r>
        <w:rPr/>
      </w:r>
      <w:r>
        <w:rPr/>
        <w:fldChar w:fldCharType="end"/>
      </w:r>
      <w:bookmarkStart w:id="6" w:name="__RefHeading___Toc482936799"/>
      <w:bookmarkEnd w:id="6"/>
      <w:r>
        <w:rPr/>
        <w:t>.  Contractor shall ensure that all of its Subcontracts between Contractor and its Subcontractors are in writing.  All Key Subcontracts shall provide that all rights, including all warranties, and obligations of Subcontractor under each such of the Contractor’s Subcontracts are assignable to Owner and to Lender, and each of their respective successors and assigns upon Owner’s written request, without further consent of any Subcontractor, following any termination of this Agreement, provided that Owner assumes all of Contractor’s obligations under such Key Subcontract.</w:t>
      </w:r>
    </w:p>
    <w:p>
      <w:pPr>
        <w:pStyle w:val="BodyText"/>
        <w:rPr/>
      </w:pPr>
      <w:r>
        <w:rPr/>
      </w:r>
    </w:p>
    <w:p>
      <w:pPr>
        <w:pStyle w:val="Style2toc"/>
        <w:rPr/>
      </w:pPr>
      <w:r>
        <w:rPr/>
        <w:t>2.4</w:t>
        <w:tab/>
      </w:r>
      <w:r>
        <w:rPr>
          <w:u w:val="single"/>
        </w:rPr>
        <w:t>Key Subcontracts</w:t>
      </w:r>
      <w:r>
        <w:fldChar w:fldCharType="begin"/>
      </w:r>
      <w:r>
        <w:rPr/>
        <w:instrText xml:space="preserve"> TC "2.4</w:instrText>
        <w:tab/>
        <w:instrText xml:space="preserve">Key Subcontracts" \l 2 </w:instrText>
      </w:r>
      <w:r>
        <w:rPr/>
        <w:fldChar w:fldCharType="separate"/>
      </w:r>
      <w:r>
        <w:rPr/>
      </w:r>
      <w:r>
        <w:rPr/>
        <w:fldChar w:fldCharType="end"/>
      </w:r>
      <w:bookmarkStart w:id="7" w:name="__RefHeading___Toc482936800"/>
      <w:bookmarkEnd w:id="7"/>
      <w:r>
        <w:rPr/>
        <w:t>.  Owner shall have the right of prior approval of Subcontractors for certain items of Work which are listed in Exhibit L (the “Key Work”). Exhibit L also contains a list of potential Subcontractors which Contractor and Owner have agreed are approved for the Key Work.  In the event that Contractor is considering the selection of a Person not listed as an approved subcontractor on Exhibit L for an item of Key Work, then Contractor shall notify Owner of the proposed Subcontractor at the earliest practical point in the selection process and furnish to Owner all information reasonably requested by Owner with respect to Contractor’s selection criteria.  Contractor shall request, in writing, Owner’s consent for Contractor to enter into a Subcontract with a Person not named on Exhibit L as an approved subcontractor for performance of an item of Key Work.  Owner must respond to Contractor’s request for its consent within ten (10) Business Days after receipt of the request and the information described above in this paragraph 2.4.  If Owner fails to timely respond to Contractor’s request or if Owner has refused to consent to the proposed Subcontractor, then the Contractor shall not enter into a Subcontract with such proposed Subcontractor for such item of Key Work.</w:t>
      </w:r>
    </w:p>
    <w:p>
      <w:pPr>
        <w:pStyle w:val="BodyText"/>
        <w:rPr/>
      </w:pPr>
      <w:r>
        <w:rPr/>
      </w:r>
    </w:p>
    <w:p>
      <w:pPr>
        <w:pStyle w:val="Style1toc"/>
        <w:keepNext w:val="true"/>
        <w:rPr/>
      </w:pPr>
      <w:r>
        <w:rPr/>
        <w:t>ARTICLE 3</w:t>
      </w:r>
      <w:r>
        <w:fldChar w:fldCharType="begin"/>
      </w:r>
      <w:r>
        <w:rPr/>
        <w:instrText xml:space="preserve"> TC "ARTICLE 3:  CONTRACTOR’S RESPONSIBILITIES" \l 1 </w:instrText>
      </w:r>
      <w:r>
        <w:rPr/>
        <w:fldChar w:fldCharType="separate"/>
      </w:r>
      <w:r>
        <w:rPr/>
      </w:r>
      <w:r>
        <w:rPr/>
        <w:fldChar w:fldCharType="end"/>
      </w:r>
      <w:bookmarkStart w:id="8" w:name="__RefHeading___Toc482936801"/>
      <w:bookmarkEnd w:id="8"/>
    </w:p>
    <w:p>
      <w:pPr>
        <w:pStyle w:val="Style1toc"/>
        <w:keepNext w:val="true"/>
        <w:rPr/>
      </w:pPr>
      <w:r>
        <w:rPr/>
        <w:t>CONTRACTOR’S RESPONSIBILITIES</w:t>
      </w:r>
    </w:p>
    <w:p>
      <w:pPr>
        <w:pStyle w:val="BodyText"/>
        <w:rPr/>
      </w:pPr>
      <w:r>
        <w:rPr/>
      </w:r>
    </w:p>
    <w:p>
      <w:pPr>
        <w:pStyle w:val="Style2toc"/>
        <w:keepNext w:val="true"/>
        <w:rPr/>
      </w:pPr>
      <w:r>
        <w:rPr/>
        <w:t>3.1</w:t>
        <w:tab/>
      </w:r>
      <w:r>
        <w:rPr>
          <w:u w:val="single"/>
        </w:rPr>
        <w:t>Scope of Work</w:t>
      </w:r>
      <w:r>
        <w:fldChar w:fldCharType="begin"/>
      </w:r>
      <w:r>
        <w:rPr/>
        <w:instrText xml:space="preserve"> TC "3.1</w:instrText>
        <w:tab/>
        <w:instrText xml:space="preserve">Scope of Work" \l 2 </w:instrText>
      </w:r>
      <w:r>
        <w:rPr/>
        <w:fldChar w:fldCharType="separate"/>
      </w:r>
      <w:r>
        <w:rPr/>
      </w:r>
      <w:r>
        <w:rPr/>
        <w:fldChar w:fldCharType="end"/>
      </w:r>
      <w:bookmarkStart w:id="9" w:name="__RefHeading___Toc482936802"/>
      <w:bookmarkEnd w:id="9"/>
      <w:r>
        <w:rPr/>
        <w:t>.</w:t>
      </w:r>
    </w:p>
    <w:p>
      <w:pPr>
        <w:pStyle w:val="BodyText"/>
        <w:rPr/>
      </w:pPr>
      <w:r>
        <w:rPr/>
      </w:r>
    </w:p>
    <w:p>
      <w:pPr>
        <w:pStyle w:val="BodyTextIndent"/>
        <w:rPr/>
      </w:pPr>
      <w:r>
        <w:rPr/>
        <w:t>3.1.1</w:t>
        <w:tab/>
      </w:r>
      <w:r>
        <w:rPr>
          <w:u w:val="single"/>
        </w:rPr>
        <w:t>General Description of Work</w:t>
      </w:r>
      <w:r>
        <w:rPr/>
        <w:t>.  Contractor shall procure and supply the Equipment, design, engineer, procure, and construct the complete Facility (including completion of civil works and the start-up, commissioning and testing of the Facility) which complies with the requirements set forth in this Agreement and all applicable Laws and Governmental Authorizations.  Contractor shall furnish, undertake, provide or cause to be provided, in a good and workmanlike manner, the Equipment, Contractor’s Equipment and all services, supervision, testing, labor and personnel necessary to design, engineer, procure, construct, start-up, commission, and test the Facility in accordance with the published recommendations of the original Equipment manufacturers, Governmental Authorizations, the requirements set forth in the instruments granting Owner and Contractor rights to the Site, applicable Laws, GIIP, and the provisions of this Agreement.  Where this Agreement describes the Scope of Work in general terms, but not in complete detail, it is understood and agreed that the Scope of Work includes any incidental work which can be reasonably inferred as required and necessary to procure and supply the Equipment and complete the Facility in accordance with this Agreement.  Scope of Work also includes the completion of all items set forth on Exhibit B-1.  In the event of any conflict or inconsistency between the requirements of this Agreement, the requirement that imposes the highest standard shall prevail.</w:t>
      </w:r>
    </w:p>
    <w:p>
      <w:pPr>
        <w:pStyle w:val="BodyText"/>
        <w:rPr/>
      </w:pPr>
      <w:r>
        <w:rPr/>
      </w:r>
    </w:p>
    <w:p>
      <w:pPr>
        <w:pStyle w:val="BodyTextIndent"/>
        <w:rPr/>
      </w:pPr>
      <w:r>
        <w:rPr/>
        <w:t>3.1.2</w:t>
        <w:tab/>
      </w:r>
      <w:r>
        <w:rPr>
          <w:u w:val="single"/>
        </w:rPr>
        <w:t>Specific Responsibilities</w:t>
      </w:r>
      <w:r>
        <w:rPr/>
        <w:t>.  Without limiting the generality of Section 3.1.1 or any other provision of this Agreement Contractor shall design, engineer, procure, construct, start-up, test, and commission the Facility such that it meets the requirements of Mechanical Completion, Provisional Acceptance, and Final Completion, and except as the following is limited by Article 4, Contractor shall:</w:t>
      </w:r>
    </w:p>
    <w:p>
      <w:pPr>
        <w:pStyle w:val="BodyText"/>
        <w:rPr/>
      </w:pPr>
      <w:r>
        <w:rPr/>
      </w:r>
    </w:p>
    <w:p>
      <w:pPr>
        <w:pStyle w:val="BodyTextIndent2"/>
        <w:rPr/>
      </w:pPr>
      <w:r>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BodyText"/>
        <w:rPr/>
      </w:pPr>
      <w:r>
        <w:rPr/>
      </w:r>
    </w:p>
    <w:p>
      <w:pPr>
        <w:pStyle w:val="BodyTextIndent2"/>
        <w:rPr/>
      </w:pPr>
      <w:r>
        <w:rPr/>
        <w:t>3.1.2.2</w:t>
        <w:tab/>
        <w:t>perform any required improvements to the Site necessary for the completion of the Facility in accordance with this Agreement;</w:t>
      </w:r>
    </w:p>
    <w:p>
      <w:pPr>
        <w:pStyle w:val="BodyText"/>
        <w:rPr/>
      </w:pPr>
      <w:r>
        <w:rPr/>
      </w:r>
    </w:p>
    <w:p>
      <w:pPr>
        <w:pStyle w:val="BodyTextIndent2"/>
        <w:rPr/>
      </w:pPr>
      <w:r>
        <w:rPr/>
        <w:t>3.1.2.3</w:t>
        <w:tab/>
        <w:t>procure and supply all Equipment which shall be new, unused, and meet or exceed GIIP, expedite and transport the Equipment to the Site and ensure the proper handling and storage of same;</w:t>
      </w:r>
    </w:p>
    <w:p>
      <w:pPr>
        <w:pStyle w:val="BodyText"/>
        <w:rPr/>
      </w:pPr>
      <w:r>
        <w:rPr/>
      </w:r>
    </w:p>
    <w:p>
      <w:pPr>
        <w:pStyle w:val="BodyTextIndent2"/>
        <w:rPr/>
      </w:pPr>
      <w:r>
        <w:rPr/>
        <w:t>3.1.2.4</w:t>
        <w:tab/>
        <w:t>provide management, Contractor’s Equipment, construction utilities, and consumables, including lubricants, chemicals, welding rods, construction equipment fuel necessary for the construction of the Facility in accordance with this Agreement except for those items to be furnished by Owner as set forth in Section 4.2;</w:t>
      </w:r>
    </w:p>
    <w:p>
      <w:pPr>
        <w:pStyle w:val="BodyText"/>
        <w:rPr/>
      </w:pPr>
      <w:r>
        <w:rPr/>
      </w:r>
    </w:p>
    <w:p>
      <w:pPr>
        <w:pStyle w:val="BodyTextIndent2"/>
        <w:rPr/>
      </w:pPr>
      <w:r>
        <w:rPr/>
        <w:t>3.1.2.5</w:t>
        <w:tab/>
        <w:t>subject to the provisions of Exhibits E-2 and E-3, manage, supervise, and control the commissioning and performance testing of the Facility using operating personnel provided by Owner;</w:t>
      </w:r>
    </w:p>
    <w:p>
      <w:pPr>
        <w:pStyle w:val="BodyText"/>
        <w:rPr/>
      </w:pPr>
      <w:r>
        <w:rPr/>
      </w:r>
    </w:p>
    <w:p>
      <w:pPr>
        <w:pStyle w:val="BodyTextIndent2"/>
        <w:rPr/>
      </w:pPr>
      <w:r>
        <w:rPr/>
        <w:t>3.1.2.6</w:t>
        <w:tab/>
        <w:t>conduct the training described in Exhibit O;</w:t>
      </w:r>
    </w:p>
    <w:p>
      <w:pPr>
        <w:pStyle w:val="BodyText"/>
        <w:rPr/>
      </w:pPr>
      <w:r>
        <w:rPr/>
      </w:r>
    </w:p>
    <w:p>
      <w:pPr>
        <w:pStyle w:val="BodyTextIndent2"/>
        <w:rPr/>
      </w:pPr>
      <w:r>
        <w:rPr/>
        <w:t>3.1.2.7</w:t>
        <w:tab/>
        <w:t>subject to the provisions of Exhibit Q and Exhibit M, if necessary, clear all Equipment through customs and take any other actions necessary to import any Equipment; Owner shall cooperate with Contractor in connection with Contractor’s complying with the obligations imposed pursuant to this Section 3.1.2.7;</w:t>
      </w:r>
    </w:p>
    <w:p>
      <w:pPr>
        <w:pStyle w:val="BodyText"/>
        <w:rPr/>
      </w:pPr>
      <w:r>
        <w:rPr/>
      </w:r>
    </w:p>
    <w:p>
      <w:pPr>
        <w:pStyle w:val="BodyTextIndent2"/>
        <w:rPr/>
      </w:pPr>
      <w:r>
        <w:rPr/>
        <w:t>3.1.2.8</w:t>
        <w:tab/>
        <w:t>prepare detailed Performance Test and Availability Test procedures in accordance with Exhibit E-3 which procedures shall be used for the Performance Tests and the Availability Tests; and</w:t>
      </w:r>
    </w:p>
    <w:p>
      <w:pPr>
        <w:pStyle w:val="BodyText"/>
        <w:rPr/>
      </w:pPr>
      <w:r>
        <w:rPr/>
      </w:r>
    </w:p>
    <w:p>
      <w:pPr>
        <w:pStyle w:val="BodyTextIndent2"/>
        <w:rPr/>
      </w:pPr>
      <w:r>
        <w:rPr/>
        <w:t>3.1.2.9</w:t>
        <w:tab/>
        <w:t xml:space="preserve">prepare start-up and commissioning procedures. </w:t>
      </w:r>
    </w:p>
    <w:p>
      <w:pPr>
        <w:pStyle w:val="BodyText"/>
        <w:rPr/>
      </w:pPr>
      <w:r>
        <w:rPr/>
      </w:r>
    </w:p>
    <w:p>
      <w:pPr>
        <w:pStyle w:val="Style2toc"/>
        <w:keepNext w:val="true"/>
        <w:rPr/>
      </w:pPr>
      <w:r>
        <w:rPr/>
        <w:t>3.2</w:t>
        <w:tab/>
      </w:r>
      <w:r>
        <w:rPr>
          <w:u w:val="single"/>
        </w:rPr>
        <w:t>Spare Parts</w:t>
      </w:r>
      <w:r>
        <w:fldChar w:fldCharType="begin"/>
      </w:r>
      <w:r>
        <w:rPr/>
        <w:instrText xml:space="preserve"> TC "3.2</w:instrText>
        <w:tab/>
        <w:instrText xml:space="preserve">Spare Parts" \l 2 </w:instrText>
      </w:r>
      <w:r>
        <w:rPr/>
        <w:fldChar w:fldCharType="separate"/>
      </w:r>
      <w:r>
        <w:rPr/>
      </w:r>
      <w:r>
        <w:rPr/>
        <w:fldChar w:fldCharType="end"/>
      </w:r>
      <w:bookmarkStart w:id="10" w:name="__RefHeading___Toc482936803"/>
      <w:bookmarkEnd w:id="10"/>
      <w:r>
        <w:rPr/>
        <w:t>.</w:t>
      </w:r>
    </w:p>
    <w:p>
      <w:pPr>
        <w:pStyle w:val="BodyText"/>
        <w:keepNext w:val="true"/>
        <w:rPr/>
      </w:pPr>
      <w:r>
        <w:rPr/>
      </w:r>
    </w:p>
    <w:p>
      <w:pPr>
        <w:pStyle w:val="BodyTextIndent"/>
        <w:rPr/>
      </w:pPr>
      <w:r>
        <w:rPr/>
        <w:t>3.2.1</w:t>
        <w:tab/>
      </w:r>
      <w:r>
        <w:rPr>
          <w:u w:val="single"/>
        </w:rPr>
        <w:t>Consumable Spare Parts</w:t>
      </w:r>
      <w:r>
        <w:rPr/>
        <w:t>.  Provided within the Contract Price are all spare parts and special tools necessary for the construction, start-up, commissioning and testing of the Facility prior to Provisional Acceptance; provided</w:t>
      </w:r>
      <w:r>
        <w:rPr>
          <w:rFonts w:cs="Arial" w:ascii="Arial" w:hAnsi="Arial"/>
        </w:rPr>
        <w:t xml:space="preserve">, </w:t>
      </w:r>
      <w:r>
        <w:rPr/>
        <w:t xml:space="preserve">however Owner shall be responsible to pay for any consumable spare parts for the gas turbine to the extent such spare parts are not included in the gas turbine contract with GE Power Systems Inc.(the “GE Contract”). </w:t>
      </w:r>
    </w:p>
    <w:p>
      <w:pPr>
        <w:pStyle w:val="BodyText"/>
        <w:rPr/>
      </w:pPr>
      <w:r>
        <w:rPr/>
      </w:r>
    </w:p>
    <w:p>
      <w:pPr>
        <w:pStyle w:val="BodyTextIndent"/>
        <w:rPr/>
      </w:pPr>
      <w:r>
        <w:rPr/>
        <w:t>3.2.2</w:t>
        <w:tab/>
      </w:r>
      <w:r>
        <w:rPr>
          <w:u w:val="single"/>
        </w:rPr>
        <w:t>Special Tools and Operating Spare Parts</w:t>
      </w:r>
      <w:r>
        <w:rPr/>
        <w:t>.  Contractor shall provide such services in connection with the procurement of special tools and operating spare parts as is specified in Exhibit N.  Contractor shall provide all tools, special or otherwise, necessary to complete the Work.</w:t>
      </w:r>
    </w:p>
    <w:p>
      <w:pPr>
        <w:pStyle w:val="BodyText"/>
        <w:rPr/>
      </w:pPr>
      <w:r>
        <w:rPr/>
      </w:r>
    </w:p>
    <w:p>
      <w:pPr>
        <w:pStyle w:val="BodyText"/>
        <w:rPr/>
      </w:pPr>
      <w:r>
        <w:rPr/>
        <w:tab/>
        <w:t>3.2.3</w:t>
        <w:tab/>
      </w:r>
      <w:r>
        <w:rPr>
          <w:u w:val="single"/>
        </w:rPr>
        <w:t>Failure During Start-Up</w:t>
      </w:r>
      <w:r>
        <w:rPr/>
        <w:t>.  Should any Equipment fail prior to Final Completion, spare parts may be withdrawn from Owner’s stock of operations and maintenance stores and the Equipment that failed returned to operating condition.  Contractor shall at its cost promptly replace all such withdrawn spare parts with new spare parts of the same type made by the same manufacturer.</w:t>
      </w:r>
    </w:p>
    <w:p>
      <w:pPr>
        <w:pStyle w:val="BodyTextIndent"/>
        <w:rPr/>
      </w:pPr>
      <w:r>
        <w:rPr/>
      </w:r>
    </w:p>
    <w:p>
      <w:pPr>
        <w:pStyle w:val="Style2toc"/>
        <w:keepNext w:val="true"/>
        <w:rPr/>
      </w:pPr>
      <w:r>
        <w:rPr/>
        <w:t>3.3</w:t>
        <w:tab/>
      </w:r>
      <w:r>
        <w:rPr>
          <w:u w:val="single"/>
        </w:rPr>
        <w:t>Compliance with Drawings and Review of Drawings and Documents</w:t>
      </w:r>
      <w:r>
        <w:fldChar w:fldCharType="begin"/>
      </w:r>
      <w:r>
        <w:rPr/>
        <w:instrText xml:space="preserve"> TC "3.3</w:instrText>
        <w:tab/>
        <w:instrText xml:space="preserve">Compliance with Drawings and Review of Drawings and Documents" \l 2 </w:instrText>
      </w:r>
      <w:r>
        <w:rPr/>
        <w:fldChar w:fldCharType="separate"/>
      </w:r>
      <w:r>
        <w:rPr/>
      </w:r>
      <w:r>
        <w:rPr/>
        <w:fldChar w:fldCharType="end"/>
      </w:r>
      <w:bookmarkStart w:id="11" w:name="__RefHeading___Toc482936804"/>
      <w:bookmarkEnd w:id="11"/>
      <w:r>
        <w:rPr/>
        <w:t>.</w:t>
      </w:r>
    </w:p>
    <w:p>
      <w:pPr>
        <w:pStyle w:val="BodyText"/>
        <w:keepNext w:val="true"/>
        <w:rPr/>
      </w:pPr>
      <w:r>
        <w:rPr/>
      </w:r>
    </w:p>
    <w:p>
      <w:pPr>
        <w:pStyle w:val="BodyTextIndent"/>
        <w:rPr/>
      </w:pPr>
      <w:r>
        <w:rPr/>
        <w:t>3.3.1</w:t>
        <w:tab/>
      </w:r>
      <w:r>
        <w:rPr>
          <w:u w:val="single"/>
        </w:rPr>
        <w:t>Submission by Contractor</w:t>
      </w:r>
      <w:r>
        <w:rPr/>
        <w:t>.  Contractor shall submit to Owner, throughout the duration of this Agreement, current complete copies of the Facility drawing and document lists for those documents listed in Exhibit R-2, and Contractor shall provide or cause to be provided to Owner, within thirty (30) days following the Notice to Proceed Effective Date, a submittal schedule setting out the anticipated dates of issue of all such drawings and documents.  Contractor shall transmit to Owner in a timely fashion the drawings and documents listed in Exhibit R-2. Where required by law, permit, or GIIP, that drawings and other documents be stamped by a registered engineer, Contractor shall provide such drawings and documentation stamped by a registered engineer.</w:t>
      </w:r>
    </w:p>
    <w:p>
      <w:pPr>
        <w:pStyle w:val="BodyTextIndent"/>
        <w:rPr/>
      </w:pPr>
      <w:r>
        <w:rPr/>
      </w:r>
    </w:p>
    <w:p>
      <w:pPr>
        <w:pStyle w:val="BodyTextIndent"/>
        <w:rPr>
          <w:b/>
        </w:rPr>
      </w:pPr>
      <w:r>
        <w:rPr/>
        <w:t>3.3.2</w:t>
        <w:tab/>
      </w:r>
      <w:r>
        <w:rPr>
          <w:u w:val="single"/>
        </w:rPr>
        <w:t>Review by Owner</w:t>
      </w:r>
      <w:r>
        <w:rPr/>
        <w:t>.  Owner shall notify Contractor of any comments or queries within seven (7) days of receipt of any drawing or document listed in Exhibit R-2.  If Owner fails to respond within the seven (7) day period, then such drawing or document shall be deemed to have been reviewed by Owner and Owner shall be deemed to have concurred without comment thereto.  Contractor shall, within seven (7) days following receipt of any comments or queries on any such drawing or document, amend such drawing or document or otherwise take account of or respond to Owner’s comments or queries and shall resubmit such drawing or document for Owner review.  Owner shall notify Contractor of any comments it may have with respect to such a resubmitted drawing or document within seven (7) days of its receipt.  Contractor shall reasonably endeavor</w:t>
      </w:r>
      <w:r>
        <w:rPr>
          <w:b/>
        </w:rPr>
        <w:t xml:space="preserve"> </w:t>
      </w:r>
      <w:r>
        <w:rPr/>
        <w:t>to implement and accommodate within any such drawing or document submitted for review and within the method, manner or sequence of carrying out the Work, Owner’s comments relating to such drawing or document (including comments on matters of safety and ease of operation and maintenance of the Facility) unless such comments are inconsistent with the requirements of this Agreement. Owner shall not review or comment on any drawing or document submitted for information except on the grounds that the drawing or document is not in accordance with the requirements of this Agreement save that Owner shall always be entitled to comment on or require a change to any such drawing or document by directing a Change Order pursuant to Article 6.</w:t>
      </w:r>
    </w:p>
    <w:p>
      <w:pPr>
        <w:pStyle w:val="BodyText"/>
        <w:rPr>
          <w:b/>
        </w:rPr>
      </w:pPr>
      <w:r>
        <w:rPr>
          <w:b/>
        </w:rPr>
      </w:r>
    </w:p>
    <w:p>
      <w:pPr>
        <w:pStyle w:val="BodyTextIndent"/>
        <w:rPr/>
      </w:pPr>
      <w:r>
        <w:rPr/>
        <w:t>3.3.3</w:t>
        <w:tab/>
      </w:r>
      <w:r>
        <w:rPr>
          <w:u w:val="single"/>
        </w:rPr>
        <w:t>Owner’s Right to Examine</w:t>
      </w:r>
      <w:r>
        <w:rPr/>
        <w:t>.  Owner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 how which is confidential to a Subcontractor.</w:t>
      </w:r>
    </w:p>
    <w:p>
      <w:pPr>
        <w:pStyle w:val="BodyText"/>
        <w:rPr/>
      </w:pPr>
      <w:r>
        <w:rPr/>
      </w:r>
    </w:p>
    <w:p>
      <w:pPr>
        <w:pStyle w:val="BodyTextIndent"/>
        <w:rPr/>
      </w:pPr>
      <w:r>
        <w:rPr/>
        <w:t>3.3.4</w:t>
        <w:tab/>
      </w:r>
      <w:r>
        <w:rPr>
          <w:u w:val="single"/>
        </w:rPr>
        <w:t>Compliance With Drawings</w:t>
      </w:r>
      <w:r>
        <w:rPr/>
        <w:t>.  Contractor shall perform the Work and ensure that all Equipment is procured and supplied substantially in accordance with the final drawings and documents listed in Exhibit R-2 submitted to Owner.</w:t>
      </w:r>
    </w:p>
    <w:p>
      <w:pPr>
        <w:pStyle w:val="BodyText"/>
        <w:rPr/>
      </w:pPr>
      <w:r>
        <w:rPr/>
      </w:r>
    </w:p>
    <w:p>
      <w:pPr>
        <w:pStyle w:val="Style2toc"/>
        <w:keepNext w:val="true"/>
        <w:rPr/>
      </w:pPr>
      <w:r>
        <w:rPr/>
        <w:t>3.4</w:t>
        <w:tab/>
      </w:r>
      <w:r>
        <w:rPr>
          <w:u w:val="single"/>
        </w:rPr>
        <w:t>Contractor’s Personnel and Labor Relations</w:t>
      </w:r>
      <w:r>
        <w:fldChar w:fldCharType="begin"/>
      </w:r>
      <w:r>
        <w:rPr/>
        <w:instrText xml:space="preserve"> TC "3.4</w:instrText>
        <w:tab/>
        <w:instrText xml:space="preserve">Contractor’s Personnel and Labor Relations" \l 2 </w:instrText>
      </w:r>
      <w:r>
        <w:rPr/>
        <w:fldChar w:fldCharType="separate"/>
      </w:r>
      <w:r>
        <w:rPr/>
      </w:r>
      <w:r>
        <w:rPr/>
        <w:fldChar w:fldCharType="end"/>
      </w:r>
      <w:bookmarkStart w:id="12" w:name="__RefHeading___Toc482936805"/>
      <w:bookmarkEnd w:id="12"/>
      <w:r>
        <w:rPr/>
        <w:t>.</w:t>
      </w:r>
    </w:p>
    <w:p>
      <w:pPr>
        <w:pStyle w:val="BodyText"/>
        <w:keepNext w:val="true"/>
        <w:rPr/>
      </w:pPr>
      <w:r>
        <w:rPr/>
      </w:r>
    </w:p>
    <w:p>
      <w:pPr>
        <w:pStyle w:val="BodyTextIndent"/>
        <w:rPr/>
      </w:pPr>
      <w:r>
        <w:rPr/>
        <w:t>3.4.1</w:t>
        <w:tab/>
      </w:r>
      <w:r>
        <w:rPr>
          <w:u w:val="single"/>
        </w:rPr>
        <w:t>Site Staff</w:t>
      </w:r>
      <w:r>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BodyText"/>
        <w:rPr/>
      </w:pPr>
      <w:r>
        <w:rPr/>
      </w:r>
    </w:p>
    <w:p>
      <w:pPr>
        <w:pStyle w:val="BodyTextIndent"/>
        <w:rPr/>
      </w:pPr>
      <w:r>
        <w:rPr/>
        <w:t>3.4.2</w:t>
        <w:tab/>
      </w:r>
      <w:r>
        <w:rPr>
          <w:u w:val="single"/>
        </w:rPr>
        <w:t>Key Personnel</w:t>
      </w:r>
      <w:r>
        <w:rPr/>
        <w:t>.  Contractor shall appoint suitably qualified and experienced Persons acceptable to Owner to fill the posts listed in Exhibit S.  Contractor shall maintain such posts in connection with the Work as long as reasonably necessary to fulfil Contractor’s obligations under this Agreement and shall not remove or replace personnel holding such posts without the prior written approval of Owner, which approval shall not be unreasonably withheld or delayed.  Contractor shall submit the resumes of the Persons nominated to fill the positions listed on Exhibit S to Owner for review, comment, or rejection prior to their appointment.  One post designated on Exhibit S shall have full authority to act on behalf of Contractor for all purposes in connection with this Agreement and Contractor shall notify Owner of the normal workplace(s) of the Person who holds such post.  Another post designated on Exhibit S shall be held by a Person employed at the Site from the commencement of Work on the Site until Provisional Acceptance to supervise all Work done on the Site and to receive all instructions related to Site activities given by or on behalf of Owner; whenever such Person is absent from the Site, Contractor shall nominate a suitable Person to act as his or her deputy.</w:t>
      </w:r>
    </w:p>
    <w:p>
      <w:pPr>
        <w:pStyle w:val="BodyText"/>
        <w:rPr/>
      </w:pPr>
      <w:r>
        <w:rPr/>
      </w:r>
    </w:p>
    <w:p>
      <w:pPr>
        <w:pStyle w:val="BodyTextIndent"/>
        <w:rPr/>
      </w:pPr>
      <w:r>
        <w:rPr/>
        <w:t>3.4.3</w:t>
        <w:tab/>
      </w:r>
      <w:r>
        <w:rPr>
          <w:u w:val="single"/>
        </w:rPr>
        <w:t>Objection to Representative</w:t>
      </w:r>
      <w:r>
        <w:rPr/>
        <w:t>.  Owner shall be entitled by notice to Contractor to object to any representative or Person listed on Exhibit S employed by Contractor or a Subcontractor in the execution of the Work who shall, in the reasonable opinion of Owner, be incompetent or negligent, or engaged in misconduct, and Contractor shall promptly remove or ensure the removal of such Person from the Work and appoint a suitable replacement.</w:t>
      </w:r>
    </w:p>
    <w:p>
      <w:pPr>
        <w:pStyle w:val="BodyText"/>
        <w:rPr/>
      </w:pPr>
      <w:r>
        <w:rPr/>
      </w:r>
    </w:p>
    <w:p>
      <w:pPr>
        <w:pStyle w:val="BodyTextIndent"/>
        <w:rPr/>
      </w:pPr>
      <w:r>
        <w:rPr/>
        <w:t>3.4.4</w:t>
        <w:tab/>
      </w:r>
      <w:r>
        <w:rPr>
          <w:u w:val="single"/>
        </w:rPr>
        <w:t>Labor Relations</w:t>
      </w:r>
      <w:r>
        <w:rPr/>
        <w:t>.  The Contractor shall not enter into labor contracts required for the performance of the Work in Mexico without the prior approval of the Owner, which consent shall not be unreasonably withheld.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relation’s matters of its employees and those of its Subcontractor relating to the Work and shall at all times use and cause its Subcontractors to use reasonable efforts to maintain harmony among their workforces.  Contractor at all times shall use and cause its Subcontractors to use reasonable efforts and judgment as an experienced contractor to adopt and implement policies and practices designed to avoid work stoppages, slowdowns, disputes, and strikes.</w:t>
      </w:r>
    </w:p>
    <w:p>
      <w:pPr>
        <w:pStyle w:val="BodyText"/>
        <w:rPr/>
      </w:pPr>
      <w:r>
        <w:rPr/>
      </w:r>
    </w:p>
    <w:p>
      <w:pPr>
        <w:pStyle w:val="BodyTextIndent"/>
        <w:rPr/>
      </w:pPr>
      <w:r>
        <w:rPr/>
        <w:t>3.4.5</w:t>
        <w:tab/>
      </w:r>
      <w:r>
        <w:rPr>
          <w:u w:val="single"/>
        </w:rPr>
        <w:t>Employment of Qualified Personnel</w:t>
      </w:r>
      <w:r>
        <w:rPr/>
        <w:t>.  Whenever required by Law or GIIP, Contractor agrees to employ licensed personnel to perform professional services in the performance of the Work.</w:t>
      </w:r>
    </w:p>
    <w:p>
      <w:pPr>
        <w:pStyle w:val="BodyText"/>
        <w:rPr/>
      </w:pPr>
      <w:r>
        <w:rPr/>
      </w:r>
    </w:p>
    <w:p>
      <w:pPr>
        <w:pStyle w:val="BodyText"/>
        <w:rPr/>
      </w:pPr>
      <w:r>
        <w:rPr/>
        <w:t>3.5</w:t>
        <w:tab/>
      </w:r>
      <w:r>
        <w:rPr>
          <w:u w:val="single"/>
        </w:rPr>
        <w:t>Governmental Authorization and Contractor Assistance</w:t>
      </w:r>
      <w:r>
        <w:fldChar w:fldCharType="begin"/>
      </w:r>
      <w:r>
        <w:rPr/>
        <w:instrText xml:space="preserve"> TC "3.5</w:instrText>
        <w:tab/>
        <w:instrText xml:space="preserve">Governmental Authorization and Contractor Assistance" \l 2 </w:instrText>
      </w:r>
      <w:r>
        <w:rPr/>
        <w:fldChar w:fldCharType="separate"/>
      </w:r>
      <w:r>
        <w:rPr/>
      </w:r>
      <w:r>
        <w:rPr/>
        <w:fldChar w:fldCharType="end"/>
      </w:r>
      <w:bookmarkStart w:id="13" w:name="__RefHeading___Toc482936806"/>
      <w:bookmarkEnd w:id="13"/>
      <w:r>
        <w:rPr/>
        <w:t>.  Contractor shall obtain in a timely manner the Governmental Authorizations listed in Exhibit K for which it is designated as responsible for submitting and obtaining, any other local construction Governmental Authorizations related to construction work on the Site which applicable Law requires to be issued in Contractor’s name, and any completion certificates required by applicable Law certifying that the Facility has been built in accordance with all such Governmental Authorizations and the as-built drawings.  Contractor shall give all notices and pay all fees required to be given or paid to any Governmental Authority in relation to any such Governmental Authorizations which are the responsibility</w:t>
      </w:r>
      <w:r>
        <w:rPr>
          <w:b/>
        </w:rPr>
        <w:t xml:space="preserve"> </w:t>
      </w:r>
      <w:r>
        <w:rPr/>
        <w:t>of Contractor.  Contractor shall use reasonable efforts (including, but not limited to, providing documents and information requested by Owner), to assist Owner in its efforts to obtain the Governmental Authorizations which Owner is required to obtain pursuant to Section 4.5 and as indicated in Exhibit K.  Contractor will use reasonable efforts to support Owner in Owner’s coordination and communications with Offtakers in accordance with Section 4.7.</w:t>
      </w:r>
    </w:p>
    <w:p>
      <w:pPr>
        <w:pStyle w:val="BodyText"/>
        <w:rPr/>
      </w:pPr>
      <w:r>
        <w:rPr/>
      </w:r>
    </w:p>
    <w:p>
      <w:pPr>
        <w:pStyle w:val="BodyText"/>
        <w:rPr/>
      </w:pPr>
      <w:r>
        <w:rPr/>
        <w:t>3.6</w:t>
        <w:tab/>
      </w:r>
      <w:r>
        <w:rPr>
          <w:u w:val="single"/>
        </w:rPr>
        <w:t>Control of the Work</w:t>
      </w:r>
      <w:r>
        <w:fldChar w:fldCharType="begin"/>
      </w:r>
      <w:r>
        <w:rPr/>
        <w:instrText xml:space="preserve"> TC "3.6</w:instrText>
        <w:tab/>
        <w:instrText xml:space="preserve">Control of the Work" \l 2 </w:instrText>
      </w:r>
      <w:r>
        <w:rPr/>
        <w:fldChar w:fldCharType="separate"/>
      </w:r>
      <w:r>
        <w:rPr/>
      </w:r>
      <w:r>
        <w:rPr/>
        <w:fldChar w:fldCharType="end"/>
      </w:r>
      <w:bookmarkStart w:id="14" w:name="__RefHeading___Toc482936807"/>
      <w:bookmarkEnd w:id="14"/>
      <w:r>
        <w:rPr/>
        <w:t xml:space="preserve">.  Except as otherwise provided pursuant to Sections 3.8.3 and 3.18, Contractor shall be solely responsible for all construction means, methods, techniques, sequences, procedures, safety, and security programs in connection with the performance of the Work; provided however that Contractor shall comply with the Project Planning and Control /Quality Assurance provisions set forth in Exhibit P hereto. </w:t>
      </w:r>
    </w:p>
    <w:p>
      <w:pPr>
        <w:pStyle w:val="BodyText"/>
        <w:rPr/>
      </w:pPr>
      <w:r>
        <w:rPr/>
      </w:r>
    </w:p>
    <w:p>
      <w:pPr>
        <w:pStyle w:val="Style2toc"/>
        <w:rPr/>
      </w:pPr>
      <w:r>
        <w:rPr/>
        <w:t>3.7</w:t>
        <w:tab/>
      </w:r>
      <w:r>
        <w:rPr>
          <w:u w:val="single"/>
        </w:rPr>
        <w:t>Cleanup; Non-Interference</w:t>
      </w:r>
      <w:r>
        <w:fldChar w:fldCharType="begin"/>
      </w:r>
      <w:r>
        <w:rPr/>
        <w:instrText xml:space="preserve"> TC "3.7</w:instrText>
        <w:tab/>
        <w:instrText xml:space="preserve">Cleanup; Non-Interference" \l 2 </w:instrText>
      </w:r>
      <w:r>
        <w:rPr/>
        <w:fldChar w:fldCharType="separate"/>
      </w:r>
      <w:r>
        <w:rPr/>
      </w:r>
      <w:r>
        <w:rPr/>
        <w:fldChar w:fldCharType="end"/>
      </w:r>
      <w:bookmarkStart w:id="15" w:name="__RefHeading___Toc482936808"/>
      <w:bookmarkEnd w:id="15"/>
      <w:r>
        <w:rPr/>
        <w:t>.  Contractor shall at all times keep the Site reasonably free from waste materials or rubbish caused by its activities.  During the period from Provisional Acceptance until Final Completion, Contractor shall ensure that the performance of the Work does not unreasonably interfere with the commercial operation of the Facility.  As soon as practicable after Provisional Acceptance, Contractor shall remove Contractor’s Equipment and all waste material and rubbish from the Site and, to the extent generated by the Work, from the surrounding areas.</w:t>
      </w:r>
    </w:p>
    <w:p>
      <w:pPr>
        <w:pStyle w:val="BodyText"/>
        <w:rPr/>
      </w:pPr>
      <w:r>
        <w:rPr/>
      </w:r>
    </w:p>
    <w:p>
      <w:pPr>
        <w:pStyle w:val="Style2toc"/>
        <w:rPr/>
      </w:pPr>
      <w:r>
        <w:rPr/>
        <w:t>3.8</w:t>
        <w:tab/>
      </w:r>
      <w:r>
        <w:rPr>
          <w:u w:val="single"/>
        </w:rPr>
        <w:t>Safety and Emergencies</w:t>
      </w:r>
      <w:r>
        <w:fldChar w:fldCharType="begin"/>
      </w:r>
      <w:r>
        <w:rPr/>
        <w:instrText xml:space="preserve"> TC "3.8</w:instrText>
        <w:tab/>
        <w:instrText xml:space="preserve">Safety and Emergencies" \l 2 </w:instrText>
      </w:r>
      <w:r>
        <w:rPr/>
        <w:fldChar w:fldCharType="separate"/>
      </w:r>
      <w:r>
        <w:rPr/>
      </w:r>
      <w:r>
        <w:rPr/>
        <w:fldChar w:fldCharType="end"/>
      </w:r>
      <w:bookmarkStart w:id="16" w:name="__RefHeading___Toc482936809"/>
      <w:bookmarkEnd w:id="16"/>
      <w:r>
        <w:rPr/>
        <w:t>.</w:t>
      </w:r>
    </w:p>
    <w:p>
      <w:pPr>
        <w:pStyle w:val="BodyText"/>
        <w:rPr/>
      </w:pPr>
      <w:r>
        <w:rPr/>
      </w:r>
    </w:p>
    <w:p>
      <w:pPr>
        <w:pStyle w:val="BodyText"/>
        <w:rPr/>
      </w:pPr>
      <w:r>
        <w:rPr/>
        <w:tab/>
        <w:t>3.8.1</w:t>
        <w:tab/>
      </w:r>
      <w:r>
        <w:rPr>
          <w:u w:val="single"/>
        </w:rPr>
        <w:t>Precautions</w:t>
      </w:r>
      <w:r>
        <w:rPr/>
        <w:t xml:space="preserve">.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w:t>
      </w:r>
    </w:p>
    <w:p>
      <w:pPr>
        <w:pStyle w:val="BodyText"/>
        <w:rPr/>
      </w:pPr>
      <w:r>
        <w:rPr/>
      </w:r>
    </w:p>
    <w:p>
      <w:pPr>
        <w:pStyle w:val="BodyText"/>
        <w:rPr/>
      </w:pPr>
      <w:r>
        <w:rPr/>
        <w:tab/>
        <w:t>3.8.2</w:t>
        <w:tab/>
      </w:r>
      <w:r>
        <w:rPr>
          <w:u w:val="single"/>
        </w:rPr>
        <w:t>Emergencies</w:t>
      </w:r>
      <w:r>
        <w:rPr/>
        <w:t>.  In the event of any emergency endangering life or property, Contractor shall take such action as may be necessary to prevent, avoid, or mitigate injury, damage, or loss and shall promptly notify Owner of any such emergency and the actions taken by Contractor.</w:t>
      </w:r>
    </w:p>
    <w:p>
      <w:pPr>
        <w:pStyle w:val="BodyText"/>
        <w:rPr/>
      </w:pPr>
      <w:r>
        <w:rPr/>
      </w:r>
    </w:p>
    <w:p>
      <w:pPr>
        <w:pStyle w:val="BodyText"/>
        <w:rPr/>
      </w:pPr>
      <w:r>
        <w:rPr/>
        <w:tab/>
        <w:t>3.8.3</w:t>
        <w:tab/>
      </w:r>
      <w:r>
        <w:rPr>
          <w:u w:val="single"/>
        </w:rPr>
        <w:t>Owner Actions</w:t>
      </w:r>
      <w:r>
        <w:rPr/>
        <w:t>.  Whenever Contractor has not complied with its obligations set forth in Section 3.8.1 or 3.8.2, creating an emergency requiring immediate action, then Owner may take reasonable precautions, but the taking of such action by Owner, or Owner’s failure to do so, shall not limit Contractor’s liability or its obligations under this Agreement.  Contractor shall reimburse Owner for the reasonable costs incurred by Owner in taking such precautions.</w:t>
      </w:r>
    </w:p>
    <w:p>
      <w:pPr>
        <w:pStyle w:val="BodyText"/>
        <w:rPr/>
      </w:pPr>
      <w:r>
        <w:rPr/>
      </w:r>
    </w:p>
    <w:p>
      <w:pPr>
        <w:pStyle w:val="BodyText"/>
        <w:rPr/>
      </w:pPr>
      <w:r>
        <w:rPr/>
        <w:tab/>
        <w:t>3.8.4</w:t>
        <w:tab/>
      </w:r>
      <w:r>
        <w:rPr>
          <w:u w:val="single"/>
        </w:rPr>
        <w:t>Safety</w:t>
      </w:r>
      <w:r>
        <w:rPr/>
        <w:t>.  Upon commencement of commissioning, Contractor shall implement any reasonable safety and security rules and procedures of Owner.</w:t>
      </w:r>
    </w:p>
    <w:p>
      <w:pPr>
        <w:pStyle w:val="BodyText"/>
        <w:rPr/>
      </w:pPr>
      <w:r>
        <w:rPr/>
      </w:r>
    </w:p>
    <w:p>
      <w:pPr>
        <w:pStyle w:val="Style2toc"/>
        <w:rPr/>
      </w:pPr>
      <w:r>
        <w:rPr/>
        <w:t>3.9</w:t>
        <w:tab/>
      </w:r>
      <w:r>
        <w:rPr>
          <w:u w:val="single"/>
        </w:rPr>
        <w:t>Financing Assistance</w:t>
      </w:r>
      <w:r>
        <w:fldChar w:fldCharType="begin"/>
      </w:r>
      <w:r>
        <w:rPr/>
        <w:instrText xml:space="preserve"> TC "3.9</w:instrText>
        <w:tab/>
        <w:instrText xml:space="preserve">Financing Assistance" \l 2 </w:instrText>
      </w:r>
      <w:r>
        <w:rPr/>
        <w:fldChar w:fldCharType="separate"/>
      </w:r>
      <w:r>
        <w:rPr/>
      </w:r>
      <w:r>
        <w:rPr/>
        <w:fldChar w:fldCharType="end"/>
      </w:r>
      <w:bookmarkStart w:id="17" w:name="__RefHeading___Toc482936810"/>
      <w:bookmarkEnd w:id="17"/>
      <w:r>
        <w:rPr/>
        <w:t>.  Contractor agrees that it will make available to Owner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Owner may reasonably request.  Contractor shall furnish such usual and customary consents to assignment, certifications and representations and opinions of counsel, addressed to Owner and Lender, as may be reasonably requested by Owner or Lender.</w:t>
      </w:r>
    </w:p>
    <w:p>
      <w:pPr>
        <w:pStyle w:val="BodyText"/>
        <w:rPr/>
      </w:pPr>
      <w:r>
        <w:rPr/>
      </w:r>
    </w:p>
    <w:p>
      <w:pPr>
        <w:pStyle w:val="Style2toc"/>
        <w:rPr/>
      </w:pPr>
      <w:r>
        <w:rPr/>
        <w:t>3.10</w:t>
        <w:tab/>
      </w:r>
      <w:r>
        <w:rPr>
          <w:u w:val="single"/>
        </w:rPr>
        <w:t>Foreign Corrupt Practices Act</w:t>
      </w:r>
      <w:r>
        <w:fldChar w:fldCharType="begin"/>
      </w:r>
      <w:r>
        <w:rPr/>
        <w:instrText xml:space="preserve"> TC "3.10</w:instrText>
        <w:tab/>
        <w:instrText xml:space="preserve">Foreign Corrupt Practices Act" \l 2 </w:instrText>
      </w:r>
      <w:r>
        <w:rPr/>
        <w:fldChar w:fldCharType="separate"/>
      </w:r>
      <w:r>
        <w:rPr/>
      </w:r>
      <w:r>
        <w:rPr/>
        <w:fldChar w:fldCharType="end"/>
      </w:r>
      <w:bookmarkStart w:id="18" w:name="__RefHeading___Toc482936811"/>
      <w:bookmarkEnd w:id="18"/>
      <w:r>
        <w:rPr/>
        <w:t>.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public international organization or any other Person, the payment of which would violate the laws of the United States of America, or the country or countries where the Work is performed, in whole or in part.  Contractor agrees to indemnify, defend, and hold harmless, Owner from and against any and all fines, penalties, related costs, and expenses, including reasonable legal expenses, attributable to any failure of Contractor (including it Subcontractors and their officers, directors, and representatives) to comply with this Section 3.10 in connection with the performance of the Work or the project referred to in Recital A of this Agreement.</w:t>
      </w:r>
    </w:p>
    <w:p>
      <w:pPr>
        <w:pStyle w:val="BodyText"/>
        <w:rPr/>
      </w:pPr>
      <w:r>
        <w:rPr/>
      </w:r>
    </w:p>
    <w:p>
      <w:pPr>
        <w:pStyle w:val="Style2toc"/>
        <w:rPr/>
      </w:pPr>
      <w:r>
        <w:rPr/>
        <w:t>3.11</w:t>
        <w:tab/>
        <w:t>Compliance with Laws</w:t>
      </w:r>
      <w:r>
        <w:fldChar w:fldCharType="begin"/>
      </w:r>
      <w:r>
        <w:rPr/>
        <w:instrText xml:space="preserve"> TC "3.11</w:instrText>
        <w:tab/>
        <w:instrText xml:space="preserve">Compliance with Laws" \l 2 </w:instrText>
      </w:r>
      <w:r>
        <w:rPr/>
        <w:fldChar w:fldCharType="separate"/>
      </w:r>
      <w:r>
        <w:rPr/>
      </w:r>
      <w:r>
        <w:rPr/>
        <w:fldChar w:fldCharType="end"/>
      </w:r>
      <w:bookmarkStart w:id="19" w:name="__RefHeading___Toc482936812"/>
      <w:bookmarkEnd w:id="19"/>
      <w:r>
        <w:rPr/>
        <w:t>.</w:t>
      </w:r>
    </w:p>
    <w:p>
      <w:pPr>
        <w:pStyle w:val="Style2toc"/>
        <w:rPr/>
      </w:pPr>
      <w:r>
        <w:rPr/>
      </w:r>
    </w:p>
    <w:p>
      <w:pPr>
        <w:pStyle w:val="BodyTextIndent"/>
        <w:rPr/>
      </w:pPr>
      <w:r>
        <w:rPr/>
        <w:t>3.11.1</w:t>
        <w:tab/>
      </w:r>
      <w:r>
        <w:rPr>
          <w:u w:val="single"/>
        </w:rPr>
        <w:t>Compliance and Indemnity</w:t>
      </w:r>
      <w:r>
        <w:rPr/>
        <w:t>.  In the performance of this Agreement and the carrying</w:t>
      </w:r>
      <w:r>
        <w:rPr>
          <w:b/>
        </w:rPr>
        <w:t xml:space="preserve"> </w:t>
      </w:r>
      <w:r>
        <w:rPr/>
        <w:t>out of all Work hereunder, Contractor shall, and shall cause its Subcontractors to, ascertain and comply with all applicable Laws and Contractor agrees to indemnify, defend and hold harmless Owner and Owner Indemnitees from and against any and all fines, penalties, related costs and expenses, including reasonable legal expenses and costs, attributable to any failure of Contractor or any Subcontractor to comply with such Laws and Governmental Authorizations in connection with the performance of the Work.</w:t>
      </w:r>
    </w:p>
    <w:p>
      <w:pPr>
        <w:pStyle w:val="BodyText"/>
        <w:rPr/>
      </w:pPr>
      <w:r>
        <w:rPr/>
      </w:r>
    </w:p>
    <w:p>
      <w:pPr>
        <w:pStyle w:val="BodyText"/>
        <w:rPr/>
      </w:pPr>
      <w:r>
        <w:rPr/>
        <w:tab/>
        <w:t>3.11.2</w:t>
        <w:tab/>
      </w:r>
      <w:r>
        <w:rPr>
          <w:u w:val="single"/>
        </w:rPr>
        <w:t>Divergences from Law</w:t>
      </w:r>
      <w:r>
        <w:rPr/>
        <w:t>.  If Contractor becomes aware of any divergence between any applicable Law and the Specifications, Scope of Work or any other provision of this Agreement, it shall immediately give Owner written notice specifying the divergence and its proposed Change for remedying such divergence.  Following execution of an appropriate Change Order, which shall only provide for any increase or decrease in Contract Price or Project Schedule if such increase is due to a Change in Law, Contractor shall complete the Work in accordance with such Change Order.</w:t>
      </w:r>
    </w:p>
    <w:p>
      <w:pPr>
        <w:pStyle w:val="BodyText"/>
        <w:rPr/>
      </w:pPr>
      <w:r>
        <w:rPr/>
      </w:r>
    </w:p>
    <w:p>
      <w:pPr>
        <w:pStyle w:val="BodyText"/>
        <w:ind w:firstLine="720" w:end="0"/>
        <w:rPr/>
      </w:pPr>
      <w:r>
        <w:rPr/>
        <w:t>3.11.3</w:t>
        <w:tab/>
      </w:r>
      <w:r>
        <w:rPr>
          <w:u w:val="single"/>
        </w:rPr>
        <w:t>Branch Line</w:t>
      </w:r>
      <w:r>
        <w:rPr/>
        <w:t>. Contractor shall construct the Branch Line in accordance with the terms and specifications established under the self-use natural gas transportation permit granted to by the Mexican Energy Regulatory Commission, in the understanding that Owner has agreed to up-date any technical specification applicable to the Branch Line in the event any new Mexican official standard is issued being applicable to the Branch Line. The issuance of such new Mexican official standard will be deemed a Change in Law. In addition, Contractor understands that prior to the commencement of operations of the Branch Line, the construction of same shall be approved by a verification unit authorized by the Mexican Energy Regulatory Commission, which verification unit shall verify that the construction was performed in accordance with the technical standards and specifications established in the self-use natural gas transportation permit granted to Owner. Owner shall inform Contractor the name of the verification unit it is planning to retain in order to comply with this requirement, and Contractor shall cooperate with such verification unit. Should the verification unit require any change in the Branch Line in order to give its approval, Contractor shall perform such changes at no cost for Owner.</w:t>
      </w:r>
    </w:p>
    <w:p>
      <w:pPr>
        <w:pStyle w:val="BodyText"/>
        <w:rPr/>
      </w:pPr>
      <w:r>
        <w:rPr/>
      </w:r>
    </w:p>
    <w:p>
      <w:pPr>
        <w:pStyle w:val="BodyText"/>
        <w:rPr/>
      </w:pPr>
      <w:r>
        <w:rPr/>
        <w:tab/>
        <w:t>3.11.4</w:t>
        <w:tab/>
      </w:r>
      <w:r>
        <w:rPr>
          <w:u w:val="single"/>
        </w:rPr>
        <w:t>Changes in Law</w:t>
      </w:r>
      <w:r>
        <w:rPr/>
        <w:t>.  If and to the extent that any Change in Law gives rise to the</w:t>
      </w:r>
      <w:r>
        <w:rPr>
          <w:b/>
        </w:rPr>
        <w:t xml:space="preserve"> </w:t>
      </w:r>
      <w:r>
        <w:rPr/>
        <w:t>requirement to make a modification to the Facility or to a Change in the Work or the schedule, manner or sequence of execution of the Scope of Work as described in the Specifications, such Change in Law shall be deemed to be a Change caused by Force Majeure to which the provisions of Article 6 shall apply.  Each Party shall notify the other as soon as it becomes aware that any Change in Law may require a modification to the Facility and shall provide the other Party with such further information and assistance as such Party may reasonably request in order to enable the Parties to comply with their obligations under this Agreement and for Owner to comply with its obligations under the Project Agreements in respect of such modification, provided that, Contractor shall have no obligation to notify Owner of a Change in Law that affects Owner’s obligations under the Project Agreements if such Change in Law does not affect either Party’s obligations under this Agreement.</w:t>
      </w:r>
    </w:p>
    <w:p>
      <w:pPr>
        <w:pStyle w:val="BodyText"/>
        <w:rPr/>
      </w:pPr>
      <w:r>
        <w:rPr/>
      </w:r>
    </w:p>
    <w:p>
      <w:pPr>
        <w:pStyle w:val="Style2toc"/>
        <w:rPr/>
      </w:pPr>
      <w:r>
        <w:rPr/>
        <w:t>3.12</w:t>
        <w:tab/>
      </w:r>
      <w:r>
        <w:rPr>
          <w:u w:val="single"/>
        </w:rPr>
        <w:t>Books and Records</w:t>
      </w:r>
      <w:r>
        <w:fldChar w:fldCharType="begin"/>
      </w:r>
      <w:r>
        <w:rPr/>
        <w:instrText xml:space="preserve"> TC "3.12</w:instrText>
        <w:tab/>
        <w:instrText xml:space="preserve">Books and Records" \l 2 </w:instrText>
      </w:r>
      <w:r>
        <w:rPr/>
        <w:fldChar w:fldCharType="separate"/>
      </w:r>
      <w:r>
        <w:rPr/>
      </w:r>
      <w:r>
        <w:rPr/>
        <w:fldChar w:fldCharType="end"/>
      </w:r>
      <w:bookmarkStart w:id="20" w:name="__RefHeading___Toc482936813"/>
      <w:bookmarkEnd w:id="20"/>
      <w:r>
        <w:rPr/>
        <w:t>.  Contractor shall keep and shall cause its Subcontractors to keep such full and detailed books, records, and accounts as may be necessary for compliance with its obligations under this Agreement.</w:t>
      </w:r>
      <w:r>
        <w:rPr>
          <w:rStyle w:val="EndnoteCharacters"/>
          <w:sz w:val="24"/>
        </w:rPr>
        <w:t xml:space="preserve">  </w:t>
      </w:r>
      <w:r>
        <w:rPr/>
        <w:t>Owner shall have the right, using an internationally recognized accounting firm, to audit Contractor’s records in the event of termination or cancellation under Article 16 or to verify costs in connection with a Change Order priced on a cost plus basis.</w:t>
      </w:r>
    </w:p>
    <w:p>
      <w:pPr>
        <w:pStyle w:val="BodyText"/>
        <w:rPr/>
      </w:pPr>
      <w:r>
        <w:rPr/>
      </w:r>
    </w:p>
    <w:p>
      <w:pPr>
        <w:pStyle w:val="Style2toc"/>
        <w:keepNext w:val="true"/>
        <w:rPr/>
      </w:pPr>
      <w:r>
        <w:rPr/>
        <w:t>3.13</w:t>
        <w:tab/>
      </w:r>
      <w:r>
        <w:rPr>
          <w:u w:val="single"/>
        </w:rPr>
        <w:t>Taxes and Fees</w:t>
      </w:r>
      <w:r>
        <w:fldChar w:fldCharType="begin"/>
      </w:r>
      <w:r>
        <w:rPr/>
        <w:instrText xml:space="preserve"> TC "3.13</w:instrText>
        <w:tab/>
        <w:instrText xml:space="preserve">Taxes and Fees" \l 2 </w:instrText>
      </w:r>
      <w:r>
        <w:rPr/>
        <w:fldChar w:fldCharType="separate"/>
      </w:r>
      <w:r>
        <w:rPr/>
      </w:r>
      <w:r>
        <w:rPr/>
        <w:fldChar w:fldCharType="end"/>
      </w:r>
      <w:bookmarkStart w:id="21" w:name="__RefHeading___Toc482936814"/>
      <w:bookmarkEnd w:id="21"/>
      <w:r>
        <w:rPr/>
        <w:t>.</w:t>
      </w:r>
    </w:p>
    <w:p>
      <w:pPr>
        <w:pStyle w:val="BodyText"/>
        <w:keepNext w:val="true"/>
        <w:rPr/>
      </w:pPr>
      <w:r>
        <w:rPr/>
      </w:r>
    </w:p>
    <w:p>
      <w:pPr>
        <w:pStyle w:val="BodyText"/>
        <w:rPr/>
      </w:pPr>
      <w:r>
        <w:rPr/>
        <w:tab/>
        <w:t>3.13.1</w:t>
        <w:tab/>
        <w:t>Contractor shall be responsible for and shall see to the payment of (and such are included in the Contract Price) those taxes, fees, levies, or other governmental charges identified in Part I of Exhibit C-7.</w:t>
      </w:r>
    </w:p>
    <w:p>
      <w:pPr>
        <w:pStyle w:val="BodyText"/>
        <w:rPr/>
      </w:pPr>
      <w:r>
        <w:rPr/>
      </w:r>
    </w:p>
    <w:p>
      <w:pPr>
        <w:pStyle w:val="BodyText"/>
        <w:rPr/>
      </w:pPr>
      <w:r>
        <w:rPr/>
        <w:tab/>
        <w:t>3.13.2</w:t>
        <w:tab/>
        <w:t>If the failure of Contractor to promptly pay any tax or fee for which Contractor is liable pursuant to this Section 3.13, then Owner may pay such tax or fee and shall be entitled to immediately recover from Contractor the amount paid together with all expenses incurred in connection therewith or set off all such amounts against any sums owed by Owner to Contractor plus interest at the Default Rate.</w:t>
      </w:r>
    </w:p>
    <w:p>
      <w:pPr>
        <w:pStyle w:val="BodyText"/>
        <w:rPr/>
      </w:pPr>
      <w:r>
        <w:rPr/>
      </w:r>
    </w:p>
    <w:p>
      <w:pPr>
        <w:pStyle w:val="BodyText"/>
        <w:rPr/>
      </w:pPr>
      <w:r>
        <w:rPr/>
        <w:tab/>
        <w:t>3.13.3</w:t>
        <w:tab/>
        <w:t>Within a reasonable period of time after a request therefor, Contractor shall provide Owner with any information regarding quantities, descriptions, and costs of Equipment installed at the Facility which Owner shall deem necessary in connection with tax matters in sufficient detail and in such a format as Owner may reasonably request.</w:t>
      </w:r>
    </w:p>
    <w:p>
      <w:pPr>
        <w:pStyle w:val="BodyText"/>
        <w:rPr/>
      </w:pPr>
      <w:r>
        <w:rPr/>
      </w:r>
    </w:p>
    <w:p>
      <w:pPr>
        <w:pStyle w:val="Style2toc"/>
        <w:rPr/>
      </w:pPr>
      <w:r>
        <w:rPr/>
        <w:t>3.14</w:t>
        <w:tab/>
      </w:r>
      <w:r>
        <w:rPr>
          <w:u w:val="single"/>
        </w:rPr>
        <w:t>Access and Inspections, Correction of Defects</w:t>
      </w:r>
      <w:r>
        <w:fldChar w:fldCharType="begin"/>
      </w:r>
      <w:r>
        <w:rPr/>
        <w:instrText xml:space="preserve"> TC "3.14</w:instrText>
        <w:tab/>
        <w:instrText xml:space="preserve">Access and Inspections, Correction of Defects" \l 2 </w:instrText>
      </w:r>
      <w:r>
        <w:rPr/>
        <w:fldChar w:fldCharType="separate"/>
      </w:r>
      <w:r>
        <w:rPr/>
      </w:r>
      <w:r>
        <w:rPr/>
        <w:fldChar w:fldCharType="end"/>
      </w:r>
      <w:bookmarkStart w:id="22" w:name="__RefHeading___Toc482936815"/>
      <w:bookmarkEnd w:id="22"/>
      <w:r>
        <w:rPr/>
        <w:t>.</w:t>
      </w:r>
    </w:p>
    <w:p>
      <w:pPr>
        <w:pStyle w:val="BodyText"/>
        <w:rPr/>
      </w:pPr>
      <w:r>
        <w:rPr/>
      </w:r>
    </w:p>
    <w:p>
      <w:pPr>
        <w:pStyle w:val="BodyText"/>
        <w:rPr/>
      </w:pPr>
      <w:r>
        <w:rPr/>
        <w:tab/>
        <w:t>3.14.1</w:t>
        <w:tab/>
      </w:r>
      <w:r>
        <w:rPr>
          <w:u w:val="single"/>
        </w:rPr>
        <w:t>Right to Inspect</w:t>
      </w:r>
      <w:r>
        <w:rPr/>
        <w:t>.  The Contractor shall provide (or cause its Subcontractors to provide) at the Site office space and facilities for six (6) Owner representatives, suitable for the Owner’s needs during construction and testing and one office in the detailed engineering facility.  All such offices shall be of the same quality and standards as those used by the Contractor’s on site staff.  Owner and its authorized Representatives, including any Lender or a Representative of any Lender, shall, at Owner’s cost, at all times have access to any place where Work is being performed by Contractor or any Subcontractor to observe the Work and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construction, start-up, commissioning, and testing, whether on or off the Site, and shall, by way of example and not limitation, have access to all test procedures, quality control reports, test reports, and data, including all adjustment, installation, and alignment data for the Equipment. Contractor shall give advance notice to Owner of the time and location of each of the proposed observation/view point and hold points set forth in Exhibit A which exhibit also provides the time period for such notice and describes the Owner’s rights to require the inspection of concealed or covered up work if proper notice was not given to the Owner.  Contractor shall give notice of the tests and coordinate with Owner and Offtakers the tests provided for in this Agreement.  In addition to the foregoing rights, in order to allow Owner and its authorized Representatives to be present, Contractor shall give Owner reasonable advance notice of any system or equipment check-out or testing with respect to which Owner specifically requests advance notice.  Contractor also shall provide any other information in its possession relating to the Facility or this Agreement reasonably requested by Owner or any of its authorized Representatives including information necessary for the Owner’s performance of risk analysis, environmental studies, and other studies.</w:t>
      </w:r>
    </w:p>
    <w:p>
      <w:pPr>
        <w:pStyle w:val="BodyText"/>
        <w:rPr/>
      </w:pPr>
      <w:r>
        <w:rPr/>
      </w:r>
    </w:p>
    <w:p>
      <w:pPr>
        <w:pStyle w:val="BodyText"/>
        <w:rPr/>
      </w:pPr>
      <w:r>
        <w:rPr/>
        <w:tab/>
        <w:t>3.14.2</w:t>
        <w:tab/>
      </w:r>
      <w:r>
        <w:rPr>
          <w:u w:val="single"/>
        </w:rPr>
        <w:t>Correction of Defects</w:t>
      </w:r>
      <w:r>
        <w:rPr/>
        <w:t>.  Contractor shall, at its sole cost and expense, promptly correct any part of the Work which is defective or not in accordance with this Agreement, regardless of the stage of its completion or the time or place of discovery of such errors and regardless of whether Owner has previously accepted it through oversight or otherwise.  In the event that any part of the Work is discovered to be in a defective condition or not conforming to this Agreement after Provisional Acceptance, correction of such defective condition shall be governed by Article 12 of this Agreement.</w:t>
      </w:r>
    </w:p>
    <w:p>
      <w:pPr>
        <w:pStyle w:val="BodyText"/>
        <w:rPr/>
      </w:pPr>
      <w:r>
        <w:rPr/>
      </w:r>
    </w:p>
    <w:p>
      <w:pPr>
        <w:pStyle w:val="BodyText"/>
        <w:rPr/>
      </w:pPr>
      <w:r>
        <w:rPr/>
        <w:tab/>
        <w:t>3.14.3</w:t>
        <w:tab/>
      </w:r>
      <w:r>
        <w:rPr>
          <w:u w:val="single"/>
        </w:rPr>
        <w:t>Disclaimer</w:t>
      </w:r>
      <w:r>
        <w:rPr/>
        <w:t>.  No inspection or review by Owner or its Representatives shall constitute an approval, endorsement, or confirmation of any drawing, plan, specification, proposed Subcontractor, or Work or an acknowledgment by Owner or such other Person that such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BodyText"/>
        <w:rPr/>
      </w:pPr>
      <w:r>
        <w:rPr/>
      </w:r>
    </w:p>
    <w:p>
      <w:pPr>
        <w:pStyle w:val="Style2toc"/>
        <w:rPr/>
      </w:pPr>
      <w:r>
        <w:rPr/>
        <w:t>3.15</w:t>
        <w:tab/>
      </w:r>
      <w:r>
        <w:rPr>
          <w:u w:val="single"/>
        </w:rPr>
        <w:t>Security of  the Site; Storage and Related Matters</w:t>
      </w:r>
      <w:r>
        <w:fldChar w:fldCharType="begin"/>
      </w:r>
      <w:r>
        <w:rPr/>
        <w:instrText xml:space="preserve"> TC "3.15</w:instrText>
        <w:tab/>
        <w:instrText xml:space="preserve">Security of  the Site; Storage and Related Matters" \l 2 </w:instrText>
      </w:r>
      <w:r>
        <w:rPr/>
        <w:fldChar w:fldCharType="separate"/>
      </w:r>
      <w:r>
        <w:rPr/>
      </w:r>
      <w:r>
        <w:rPr/>
        <w:fldChar w:fldCharType="end"/>
      </w:r>
      <w:bookmarkStart w:id="23" w:name="__RefHeading___Toc482936816"/>
      <w:bookmarkEnd w:id="23"/>
      <w:r>
        <w:rPr/>
        <w:t>.  Contractor shall warehouse or otherwise provide appropriate storage for all Equipment (including, to the extent so specified in Exhibit N, spare parts and special tools) at or in the vicinity of the Site.  Contractor shall be responsible for the proper fencing, guarding, lighting, and security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w:t>
      </w:r>
    </w:p>
    <w:p>
      <w:pPr>
        <w:pStyle w:val="BodyText"/>
        <w:rPr/>
      </w:pPr>
      <w:r>
        <w:rPr/>
      </w:r>
    </w:p>
    <w:p>
      <w:pPr>
        <w:pStyle w:val="Style2toc"/>
        <w:rPr/>
      </w:pPr>
      <w:r>
        <w:rPr/>
        <w:t>3.16</w:t>
        <w:tab/>
      </w:r>
      <w:r>
        <w:rPr>
          <w:u w:val="single"/>
        </w:rPr>
        <w:t>Cooperation and Non-interference</w:t>
      </w:r>
      <w:r>
        <w:fldChar w:fldCharType="begin"/>
      </w:r>
      <w:r>
        <w:rPr/>
        <w:instrText xml:space="preserve"> TC "3.16</w:instrText>
        <w:tab/>
        <w:instrText xml:space="preserve">Cooperation and Non-interference" \l 2 </w:instrText>
      </w:r>
      <w:r>
        <w:rPr/>
        <w:fldChar w:fldCharType="separate"/>
      </w:r>
      <w:r>
        <w:rPr/>
      </w:r>
      <w:r>
        <w:rPr/>
        <w:fldChar w:fldCharType="end"/>
      </w:r>
      <w:bookmarkStart w:id="24" w:name="__RefHeading___Toc482936817"/>
      <w:bookmarkEnd w:id="24"/>
      <w:r>
        <w:rPr/>
        <w:t>.  Contractor acknowledges and accepts that Owner may engage other Persons to perform work or provide services in connection with the completion of the Facility which are not part of the Work and which may or may not be performed at or adjacent to the Site (the “Out of Scope Construction”). Contractor agrees to cooperate in good faith and use its reasonable efforts to coordinate performance of the Work so as to enable any Person performing the Out of Scope Construction to complete its work in a timely and efficient manner.</w:t>
      </w:r>
    </w:p>
    <w:p>
      <w:pPr>
        <w:pStyle w:val="BodyText"/>
        <w:rPr/>
      </w:pPr>
      <w:r>
        <w:rPr/>
      </w:r>
    </w:p>
    <w:p>
      <w:pPr>
        <w:pStyle w:val="Style2toc"/>
        <w:rPr/>
      </w:pPr>
      <w:r>
        <w:rPr/>
      </w:r>
    </w:p>
    <w:p>
      <w:pPr>
        <w:pStyle w:val="Style2toc"/>
        <w:rPr/>
      </w:pPr>
      <w:r>
        <w:rPr/>
        <w:t>3.17</w:t>
        <w:tab/>
      </w:r>
      <w:r>
        <w:rPr>
          <w:u w:val="single"/>
        </w:rPr>
        <w:t>No Liens</w:t>
      </w:r>
      <w:r>
        <w:fldChar w:fldCharType="begin"/>
      </w:r>
      <w:r>
        <w:rPr/>
        <w:instrText xml:space="preserve"> TC "3.17</w:instrText>
        <w:tab/>
        <w:instrText xml:space="preserve">No Liens" \l 2 </w:instrText>
      </w:r>
      <w:r>
        <w:rPr/>
        <w:fldChar w:fldCharType="separate"/>
      </w:r>
      <w:r>
        <w:rPr/>
      </w:r>
      <w:r>
        <w:rPr/>
        <w:fldChar w:fldCharType="end"/>
      </w:r>
      <w:bookmarkStart w:id="25" w:name="__RefHeading___Toc482936818"/>
      <w:bookmarkEnd w:id="25"/>
      <w:r>
        <w:rPr/>
        <w:t>.</w:t>
      </w:r>
    </w:p>
    <w:p>
      <w:pPr>
        <w:pStyle w:val="BodyText"/>
        <w:rPr/>
      </w:pPr>
      <w:r>
        <w:rPr/>
      </w:r>
    </w:p>
    <w:p>
      <w:pPr>
        <w:pStyle w:val="BodyText"/>
        <w:rPr/>
      </w:pPr>
      <w:r>
        <w:rPr/>
        <w:tab/>
        <w:t>3.17.1</w:t>
        <w:tab/>
      </w:r>
      <w:r>
        <w:rPr>
          <w:u w:val="single"/>
        </w:rPr>
        <w:t>Creation of Liens</w:t>
      </w:r>
      <w:r>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Owner with respect to, any such Contractor Lien or other charge which, if unpaid, might be or become a Contractor Lien.  Contractor shall immediately notify Owner of the assertion of any Contractor Lien.</w:t>
      </w:r>
    </w:p>
    <w:p>
      <w:pPr>
        <w:pStyle w:val="BodyText"/>
        <w:rPr/>
      </w:pPr>
      <w:r>
        <w:rPr/>
      </w:r>
    </w:p>
    <w:p>
      <w:pPr>
        <w:pStyle w:val="BodyText"/>
        <w:rPr/>
      </w:pPr>
      <w:r>
        <w:rPr/>
        <w:tab/>
        <w:t>3.17.2</w:t>
        <w:tab/>
      </w:r>
      <w:r>
        <w:rPr>
          <w:u w:val="single"/>
        </w:rPr>
        <w:t>Indemnity from Liens</w:t>
      </w:r>
      <w:r>
        <w:rPr/>
        <w:t>.  Contractor shall indemnify, defend and protect Owner and Owner Indemnitees from and against all Contractor Liens, which indemnity shall survive the termination of this Agreement.</w:t>
      </w:r>
    </w:p>
    <w:p>
      <w:pPr>
        <w:pStyle w:val="BodyText"/>
        <w:rPr/>
      </w:pPr>
      <w:r>
        <w:rPr/>
      </w:r>
    </w:p>
    <w:p>
      <w:pPr>
        <w:pStyle w:val="BodyText"/>
        <w:rPr/>
      </w:pPr>
      <w:r>
        <w:rPr/>
        <w:tab/>
        <w:t>3.17.3</w:t>
        <w:tab/>
      </w:r>
      <w:r>
        <w:rPr>
          <w:u w:val="single"/>
        </w:rPr>
        <w:t>Discharge of Liens</w:t>
      </w:r>
      <w:r>
        <w:rPr/>
        <w:t>.  Upon the failure of Contractor to promptly pay, discharge or provide security reasonably acceptable to Owner for any Contractor Lien within fifteen (15) days of receipt of written notice from Owner to Contractor,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Owner to Contractor.</w:t>
      </w:r>
    </w:p>
    <w:p>
      <w:pPr>
        <w:pStyle w:val="BodyText"/>
        <w:rPr/>
      </w:pPr>
      <w:r>
        <w:rPr/>
      </w:r>
    </w:p>
    <w:p>
      <w:pPr>
        <w:pStyle w:val="BodyText"/>
        <w:rPr/>
      </w:pPr>
      <w:r>
        <w:rPr/>
        <w:tab/>
        <w:t>3.17.4</w:t>
        <w:tab/>
      </w:r>
      <w:r>
        <w:rPr>
          <w:u w:val="single"/>
        </w:rPr>
        <w:t>No Waiver of Contractor Rights</w:t>
      </w:r>
      <w:r>
        <w:rPr/>
        <w:t xml:space="preserve">.  Nothing in this Section 3.17 shall be construed as a limitation on or waiver by Contractor of any of its rights to encumber the Facility or the Site as security for any undisputed payments owed to it by Owner hereunder; </w:t>
      </w:r>
      <w:r>
        <w:rPr>
          <w:u w:val="single"/>
        </w:rPr>
        <w:t>provided that</w:t>
      </w:r>
      <w:r>
        <w:rPr/>
        <w:t xml:space="preserve"> Contractor may only exercise such right after providing Owner with thirty (30) days prior written notice of its intent to do so and </w:t>
      </w:r>
      <w:r>
        <w:rPr>
          <w:u w:val="single"/>
        </w:rPr>
        <w:t>provided further that</w:t>
      </w:r>
      <w:r>
        <w:rPr/>
        <w:t xml:space="preserve"> Owner (or Lender on behalf of Owner) shall not have made such payment or provided a bond or other reasonably acceptable provision reasonably acceptable to Contractor to secure such payment within such thirty (30) day period.</w:t>
      </w:r>
    </w:p>
    <w:p>
      <w:pPr>
        <w:pStyle w:val="BodyText"/>
        <w:rPr/>
      </w:pPr>
      <w:r>
        <w:rPr/>
      </w:r>
    </w:p>
    <w:p>
      <w:pPr>
        <w:pStyle w:val="Style2toc"/>
        <w:rPr/>
      </w:pPr>
      <w:r>
        <w:rPr/>
        <w:t>3.18</w:t>
        <w:tab/>
      </w:r>
      <w:r>
        <w:rPr>
          <w:u w:val="single"/>
        </w:rPr>
        <w:t>Hazardous Substances, Archaeological Discoveries and Ground Risk</w:t>
      </w:r>
      <w:r>
        <w:fldChar w:fldCharType="begin"/>
      </w:r>
      <w:r>
        <w:rPr/>
        <w:instrText xml:space="preserve"> TC "3.18</w:instrText>
        <w:tab/>
        <w:instrText xml:space="preserve">Hazardous Substances, Archaeological Discoveries and Ground Risk" \l 2 </w:instrText>
      </w:r>
      <w:r>
        <w:rPr/>
        <w:fldChar w:fldCharType="separate"/>
      </w:r>
      <w:r>
        <w:rPr/>
      </w:r>
      <w:r>
        <w:rPr/>
        <w:fldChar w:fldCharType="end"/>
      </w:r>
      <w:bookmarkStart w:id="26" w:name="__RefHeading___Toc482936819"/>
      <w:bookmarkEnd w:id="26"/>
      <w:r>
        <w:rPr/>
        <w:t>.</w:t>
      </w:r>
    </w:p>
    <w:p>
      <w:pPr>
        <w:pStyle w:val="BodyText"/>
        <w:rPr/>
      </w:pPr>
      <w:r>
        <w:rPr/>
      </w:r>
    </w:p>
    <w:p>
      <w:pPr>
        <w:pStyle w:val="BodyText"/>
        <w:rPr/>
      </w:pPr>
      <w:r>
        <w:rPr/>
        <w:tab/>
        <w:t>3.18.1</w:t>
        <w:tab/>
      </w:r>
      <w:r>
        <w:rPr>
          <w:u w:val="single"/>
        </w:rPr>
        <w:t>Existing</w:t>
      </w:r>
      <w:r>
        <w:rPr/>
        <w:t>.  Upon the discovery of any Hazardous Substances that existed on the Site on the Effective Date (which were not brought to the Site by the Contractor or a Subcontractor), or of any article of value or antiquity or of archaeological or geotechnical interest, Contractor shall (i) promptly cease work in the affected area and direct its workers and Subcontractors not to remove or further disturb the material or item; (ii) promptly notify Owner of such discovery; (iii) use all reasonable efforts to mitigate the effects of any such discovery on the Site, any property or Person, and the performance of the Work; and (iv) follow any and all directions of Owner or its representatives with respect to such discoveries.  Contractor shall not under any circumstances be required to remediate any such existing Hazardous Substances and shall not be responsible for the removal from the Site or for otherwise making safe in accordance with applicable Law any Hazardous Substances existing at the Site as of the Effective Date of this Agreement.  Contractor shall be entitled, in accordance with Article 6, to recover reasonable additional costs incurred, if any, and to a reasonable extension to the Guaranteed Completion Date in respect of any delay suffered by reason of such discovery or Owner’s directions with</w:t>
      </w:r>
      <w:r>
        <w:rPr>
          <w:b/>
        </w:rPr>
        <w:t xml:space="preserve"> </w:t>
      </w:r>
      <w:r>
        <w:rPr/>
        <w:t>respect to such discovery other than as a result of Contractor’s breach of its obligations under this Section 3.18.1.  Any item of value or archaeological or geotechnical interest shall, as between Owner and Contractor, be deemed the property of Owner.</w:t>
      </w:r>
    </w:p>
    <w:p>
      <w:pPr>
        <w:pStyle w:val="BodyText"/>
        <w:rPr/>
      </w:pPr>
      <w:r>
        <w:rPr/>
      </w:r>
    </w:p>
    <w:p>
      <w:pPr>
        <w:pStyle w:val="BodyText"/>
        <w:rPr/>
      </w:pPr>
      <w:r>
        <w:rPr/>
        <w:tab/>
        <w:t>3.18.2</w:t>
        <w:tab/>
      </w:r>
      <w:r>
        <w:rPr>
          <w:u w:val="single"/>
        </w:rPr>
        <w:t>New</w:t>
      </w:r>
      <w:r>
        <w:rPr/>
        <w:t>. Contractor shall be responsible for the removal from the Site or for otherwise making safe in accordance with applicable Mexican Laws any materials generated, released, or brought onto the Site by the Contractor, its Subcontractors during its construction activities at the Site which are toxic or similarly hazardous to the health or safety of persons or to the environment. Owner shall notify the Contractor immediately upon the discovery of any such materials and shall provide such assistance as may be reasonably requested by the Contractor to facilitate the measures to be implemented by the Contractor pursuant to this Section 3.18.2.; provided Owner shall incur no unreimbursed costs in rendering such assistance to Contractor.  Contractor shall be liable for and shall indemnify, protect, defend and hold harmless the Owner, the Owner's Affiliates and their respective directors, officers, employees and agents from and against any and all demands, claims, suits, and causes of action and any and all liability, costs, expenses, settlements, and judgments incurred in connection therewith (including court costs and attorney's fees incurred by the Owner) arising out of such toxic or hazardous materials for which the Contractor is responsible pursuant to this Section 3.18.2.</w:t>
      </w:r>
    </w:p>
    <w:p>
      <w:pPr>
        <w:pStyle w:val="BodyText"/>
        <w:rPr/>
      </w:pPr>
      <w:r>
        <w:rPr/>
      </w:r>
    </w:p>
    <w:p>
      <w:pPr>
        <w:pStyle w:val="BodyText"/>
        <w:rPr/>
      </w:pPr>
      <w:r>
        <w:rPr/>
        <w:tab/>
        <w:t>3.18.3</w:t>
        <w:tab/>
      </w:r>
      <w:r>
        <w:rPr>
          <w:u w:val="single"/>
        </w:rPr>
        <w:t>Site Conditions and Ground Risk</w:t>
      </w:r>
      <w:r>
        <w:rPr/>
        <w:t>.  Contractor has inspected the Site prior to execution of this Agreement and has reasonably assured itself that the Site and its surroundings are consistent with the assumptions that were the basis for its Contract Price and Guaranteed Completion Date.  Notwithstanding the foregoing, the Contract Price and Guaranteed Completion Date are based on the Site’s geotechnical conditions being consistent with those set out in Exhibit B-2 (collectively, the "Environmental Assumptions").  Contractor shall be entitled to an adjustment to the Contract Price, Project Schedule, Guaranteed Completion Date, Milestone Payment Schedule, or any other provision of this Agreement to the extent that Contractor encounters conditions that are not consistent with the Environmental Assumptions.  Contractor shall provide Owner with documentation of such impact if so requested by Owner.</w:t>
      </w:r>
    </w:p>
    <w:p>
      <w:pPr>
        <w:pStyle w:val="BodyText"/>
        <w:rPr/>
      </w:pPr>
      <w:r>
        <w:rPr/>
      </w:r>
    </w:p>
    <w:p>
      <w:pPr>
        <w:pStyle w:val="BodyText"/>
        <w:rPr/>
      </w:pPr>
      <w:r>
        <w:rPr/>
        <w:t>3.19</w:t>
        <w:tab/>
      </w:r>
      <w:r>
        <w:rPr>
          <w:u w:val="single"/>
        </w:rPr>
        <w:t>Contractor’s Representative</w:t>
      </w:r>
      <w:r>
        <w:fldChar w:fldCharType="begin"/>
      </w:r>
      <w:r>
        <w:rPr/>
        <w:instrText xml:space="preserve"> TC "3.19</w:instrText>
        <w:tab/>
        <w:instrText xml:space="preserve">Contractor’s Representative" \l 2 </w:instrText>
      </w:r>
      <w:r>
        <w:rPr/>
        <w:fldChar w:fldCharType="separate"/>
      </w:r>
      <w:r>
        <w:rPr/>
      </w:r>
      <w:r>
        <w:rPr/>
        <w:fldChar w:fldCharType="end"/>
      </w:r>
      <w:bookmarkStart w:id="27" w:name="__RefHeading___Toc482936820"/>
      <w:bookmarkEnd w:id="27"/>
      <w:r>
        <w:rPr/>
        <w:t>.  On or before the Notice to Proceed Effective Date, Contractor shall designate a Representative (the “Contractor’s Representative”), who shall be authorized to act on behalf of Contractor, with whom Owner may consult at all reasonable times, and whose instructions, approvals, requests, and decisions shall be binding upon Contractor as to all matters pertaining to this Agreement and the performance of Contractor hereunder; provided however, that Contractor’s Representative shall not have authority to agree to a Change Order or to amend or modify any provision of this Agreement unless Contractor has given written notice to Owner pursuant to this Agreement of express authority with respect to certain Change Orders being delegated to such Contractor’s Representative.  Contractor may change Contractor’s Representative with Owner’s prior written consent which shall not be unreasonably withheld.</w:t>
      </w:r>
    </w:p>
    <w:p>
      <w:pPr>
        <w:pStyle w:val="BodyText"/>
        <w:rPr/>
      </w:pPr>
      <w:r>
        <w:rPr/>
      </w:r>
    </w:p>
    <w:p>
      <w:pPr>
        <w:pStyle w:val="BodyText"/>
        <w:rPr/>
      </w:pPr>
      <w:r>
        <w:rPr/>
        <w:t>3.20</w:t>
        <w:tab/>
      </w:r>
      <w:r>
        <w:rPr>
          <w:u w:val="single"/>
        </w:rPr>
        <w:t>CFE Facilities and PGPB Facilities</w:t>
      </w:r>
      <w:r>
        <w:fldChar w:fldCharType="begin"/>
      </w:r>
      <w:r>
        <w:rPr/>
        <w:instrText xml:space="preserve"> TC "3.20</w:instrText>
        <w:tab/>
        <w:instrText xml:space="preserve">CFE Facilities and PGPB Facilities" \l 2 </w:instrText>
      </w:r>
      <w:r>
        <w:rPr/>
        <w:fldChar w:fldCharType="separate"/>
      </w:r>
      <w:r>
        <w:rPr/>
      </w:r>
      <w:r>
        <w:rPr/>
        <w:fldChar w:fldCharType="end"/>
      </w:r>
      <w:bookmarkStart w:id="28" w:name="__RefHeading___Toc482936821"/>
      <w:bookmarkEnd w:id="28"/>
      <w:r>
        <w:rPr/>
        <w:t>.</w:t>
      </w:r>
    </w:p>
    <w:p>
      <w:pPr>
        <w:pStyle w:val="BodyText"/>
        <w:rPr/>
      </w:pPr>
      <w:r>
        <w:rPr/>
      </w:r>
    </w:p>
    <w:p>
      <w:pPr>
        <w:pStyle w:val="BodyText"/>
        <w:rPr/>
      </w:pPr>
      <w:r>
        <w:rPr/>
        <w:tab/>
        <w:t>3.20.1</w:t>
        <w:tab/>
      </w:r>
      <w:r>
        <w:rPr>
          <w:u w:val="single"/>
        </w:rPr>
        <w:t>Applicability of other Provisions</w:t>
      </w:r>
      <w:r>
        <w:rPr/>
        <w:t>. All the provisions, covenants, obligations, and guarantees established in this Agreement with respect to the Facility and the Work will be applicable also to the CFE Facilities and the PGPB Facilities, except in the case, and to the extent that such provisions, obligations, covenants, or guarantees are inconsistent with the facilities and assignment agreement to be entered between Owner and CFE and the interconnection agreement to be entered between Owner and PGPB, and except as otherwise indicated in this Section 3.20.</w:t>
      </w:r>
    </w:p>
    <w:p>
      <w:pPr>
        <w:pStyle w:val="BodyText"/>
        <w:rPr/>
      </w:pPr>
      <w:r>
        <w:rPr/>
      </w:r>
    </w:p>
    <w:p>
      <w:pPr>
        <w:pStyle w:val="BodyText"/>
        <w:rPr/>
      </w:pPr>
      <w:r>
        <w:rPr/>
        <w:tab/>
        <w:t>3.20.2</w:t>
        <w:tab/>
      </w:r>
      <w:r>
        <w:rPr>
          <w:u w:val="single"/>
        </w:rPr>
        <w:t>CFE / PGPB Specific Requirements</w:t>
      </w:r>
      <w:r>
        <w:rPr/>
        <w:t>. The parties acknowledge that CFE / PGPB specific requirements with respect to timing, technical specifications, reported information, supervision, etc. may arise in connection with the Works related to the CFE Facilities and the PGPB Facilities as a result of the execution by Owner of a facilities and assignment agreement with CFE and/or the interconnection agreement with PGPB, and that it is extremely difficult for Owner to foresee at the time of execution of this Agreement what such specific requirements will be; accordingly, the parties shall review and agree on any specific procedure or adjustment to this Agreement, except that there will be no adjustments in the Contract Price unless the specific requirements as a whole are arbitrary and excessive, which shall be necessary to meet the CFE / PGPB specific requirements established under the aforesaid agreements with CFE and PGPB. The Parties also agree that the CFE Facilities and the PGPB Facilities shall be constructed in compliance with the CFE Standards and the PGPB standards, respectively. Any CFE / PGPB specific requirement regarding the CFE Facilities and/or the PGPB Facilities shall be made an exhibit of this Agreement and signed by both Parties once such specific requirements are known by the Parties.</w:t>
      </w:r>
    </w:p>
    <w:p>
      <w:pPr>
        <w:pStyle w:val="BodyText"/>
        <w:rPr/>
      </w:pPr>
      <w:r>
        <w:rPr/>
      </w:r>
    </w:p>
    <w:p>
      <w:pPr>
        <w:pStyle w:val="BodyText"/>
        <w:ind w:firstLine="720" w:end="0"/>
        <w:rPr/>
      </w:pPr>
      <w:r>
        <w:rPr/>
        <w:t>3.20.3</w:t>
        <w:tab/>
      </w:r>
      <w:r>
        <w:rPr>
          <w:u w:val="single"/>
        </w:rPr>
        <w:t>Rights In Favor of CFE and/or PGPB</w:t>
      </w:r>
      <w:r>
        <w:rPr/>
        <w:t>. Contractor agrees to cooperate with  Owner in order for Owner to fulfill its obligation under the agreements entered with CFE and PGPB regarding the CFE Facilities and the PGPB Facilities. Contractor agrees also to cooperate with Owner in obtaining any approval by CFE and/or PGPB required under the aforesaid agreements, and allowed any supervision or other activity permitted to CFE and/or PGPB under the same.</w:t>
      </w:r>
    </w:p>
    <w:p>
      <w:pPr>
        <w:pStyle w:val="BodyText"/>
        <w:rPr/>
      </w:pPr>
      <w:r>
        <w:rPr/>
      </w:r>
    </w:p>
    <w:p>
      <w:pPr>
        <w:pStyle w:val="Style1toc"/>
        <w:rPr/>
      </w:pPr>
      <w:r>
        <w:rPr/>
        <w:t>ARTICLE 4</w:t>
      </w:r>
      <w:r>
        <w:fldChar w:fldCharType="begin"/>
      </w:r>
      <w:r>
        <w:rPr/>
        <w:instrText xml:space="preserve"> TC "ARTICLE 4:  OWNER’S RESPONSIBILITIES" \l 1 </w:instrText>
      </w:r>
      <w:r>
        <w:rPr/>
        <w:fldChar w:fldCharType="separate"/>
      </w:r>
      <w:r>
        <w:rPr/>
      </w:r>
      <w:r>
        <w:rPr/>
        <w:fldChar w:fldCharType="end"/>
      </w:r>
      <w:bookmarkStart w:id="29" w:name="__RefHeading___Toc482936822"/>
      <w:bookmarkEnd w:id="29"/>
    </w:p>
    <w:p>
      <w:pPr>
        <w:pStyle w:val="Style1toc"/>
        <w:rPr/>
      </w:pPr>
      <w:r>
        <w:rPr/>
        <w:t>OWNER’S RESPONSIBILITIES</w:t>
      </w:r>
    </w:p>
    <w:p>
      <w:pPr>
        <w:pStyle w:val="BodyText"/>
        <w:rPr/>
      </w:pPr>
      <w:r>
        <w:rPr/>
      </w:r>
    </w:p>
    <w:p>
      <w:pPr>
        <w:pStyle w:val="Style2toc"/>
        <w:rPr/>
      </w:pPr>
      <w:r>
        <w:rPr/>
        <w:t>4.1</w:t>
        <w:tab/>
      </w:r>
      <w:r>
        <w:rPr>
          <w:u w:val="single"/>
        </w:rPr>
        <w:t>Owner Assistance to Contractor</w:t>
      </w:r>
      <w:r>
        <w:fldChar w:fldCharType="begin"/>
      </w:r>
      <w:r>
        <w:rPr/>
        <w:instrText xml:space="preserve"> TC "4.1</w:instrText>
        <w:tab/>
        <w:instrText xml:space="preserve">Owner Assistance to Contractor" \l 2 </w:instrText>
      </w:r>
      <w:r>
        <w:rPr/>
        <w:fldChar w:fldCharType="separate"/>
      </w:r>
      <w:r>
        <w:rPr/>
      </w:r>
      <w:r>
        <w:rPr/>
        <w:fldChar w:fldCharType="end"/>
      </w:r>
      <w:bookmarkStart w:id="30" w:name="__RefHeading___Toc482936823"/>
      <w:bookmarkEnd w:id="30"/>
      <w:r>
        <w:rPr/>
        <w:t>.  Owner shall be responsible for taking the actions set forth on Exhibit Q, with respect to the importation of Equipment.  Contractor shall cooperate with and assist Owner in connection with Owner complying with the obligations imposed pursuant to this Section 4.1.  Owner shall expeditiously prepare and execute any papers that cannot be prepared or executed by Contractor and are necessary to import any Equipment.</w:t>
      </w:r>
    </w:p>
    <w:p>
      <w:pPr>
        <w:pStyle w:val="BodyText"/>
        <w:rPr/>
      </w:pPr>
      <w:r>
        <w:rPr/>
      </w:r>
    </w:p>
    <w:p>
      <w:pPr>
        <w:pStyle w:val="Style2toc"/>
        <w:rPr/>
      </w:pPr>
      <w:r>
        <w:rPr/>
        <w:t>4.2</w:t>
        <w:tab/>
      </w:r>
      <w:r>
        <w:rPr>
          <w:u w:val="single"/>
        </w:rPr>
        <w:t>Owner’s Scope of Work including Consumables, Utilities, and Interconnections</w:t>
      </w:r>
      <w:r>
        <w:fldChar w:fldCharType="begin"/>
      </w:r>
      <w:r>
        <w:rPr/>
        <w:instrText xml:space="preserve"> TC "4.2</w:instrText>
        <w:tab/>
        <w:instrText xml:space="preserve">Owner’s Scope of Work including Consumables, Utilities, and Interconnections" \l 2 </w:instrText>
      </w:r>
      <w:r>
        <w:rPr/>
        <w:fldChar w:fldCharType="separate"/>
      </w:r>
      <w:r>
        <w:rPr/>
      </w:r>
      <w:r>
        <w:rPr/>
        <w:fldChar w:fldCharType="end"/>
      </w:r>
      <w:bookmarkStart w:id="31" w:name="__RefHeading___Toc482936824"/>
      <w:bookmarkEnd w:id="31"/>
      <w:r>
        <w:rPr/>
        <w:t xml:space="preserve">.  Owner shall, within the time frame and to the extent specified in Exhibit M, perform its scope of work including providing and paying for the fuel, water, waste water, utilities, items and services as set forth in Exhibit M.  Contractor shall cooperate with and assist Owner in connection with Owner’s complying with the obligations imposed pursuant to this Section 4.2.  Notwithstanding the foregoing, Owner shall only be required to pay for the fuel, water, waste water and other utilities that are needed for the first 48 hours of the Performance Tests (excluding the Reliability Test) and Contractor shall pay for such items during Performance Tests (excluding the Reliability Test) that occur after such 48 hours (the “Excess Utilities”); provided, that Contractor’s obligation to pay for Excess Utilities shall be reduced by the amount of revenue received by Owner for output produced during the Performance Tests that are performed using the Excess Utilities.  </w:t>
      </w:r>
    </w:p>
    <w:p>
      <w:pPr>
        <w:pStyle w:val="BodyText"/>
        <w:rPr/>
      </w:pPr>
      <w:r>
        <w:rPr/>
      </w:r>
    </w:p>
    <w:p>
      <w:pPr>
        <w:pStyle w:val="Style2toc"/>
        <w:rPr/>
      </w:pPr>
      <w:r>
        <w:rPr/>
        <w:t>4.3</w:t>
        <w:tab/>
      </w:r>
      <w:r>
        <w:rPr>
          <w:u w:val="single"/>
        </w:rPr>
        <w:t>Payment</w:t>
      </w:r>
      <w:r>
        <w:fldChar w:fldCharType="begin"/>
      </w:r>
      <w:r>
        <w:rPr/>
        <w:instrText xml:space="preserve"> TC "4.3</w:instrText>
        <w:tab/>
        <w:instrText xml:space="preserve">Payment" \l 2 </w:instrText>
      </w:r>
      <w:r>
        <w:rPr/>
        <w:fldChar w:fldCharType="separate"/>
      </w:r>
      <w:r>
        <w:rPr/>
      </w:r>
      <w:r>
        <w:rPr/>
        <w:fldChar w:fldCharType="end"/>
      </w:r>
      <w:bookmarkStart w:id="32" w:name="__RefHeading___Toc482936825"/>
      <w:bookmarkEnd w:id="32"/>
      <w:r>
        <w:rPr/>
        <w:t>.  Owner shall timely pay the Contract Price and all other sums, if any, required to be paid by it to Contractor pursuant to the terms of this Agreement, in each case in accordance with the provisions of Article 7.</w:t>
      </w:r>
    </w:p>
    <w:p>
      <w:pPr>
        <w:pStyle w:val="BodyText"/>
        <w:rPr/>
      </w:pPr>
      <w:r>
        <w:rPr/>
      </w:r>
    </w:p>
    <w:p>
      <w:pPr>
        <w:pStyle w:val="Style2toc"/>
        <w:rPr/>
      </w:pPr>
      <w:r>
        <w:rPr/>
        <w:t>4.4</w:t>
        <w:tab/>
      </w:r>
      <w:r>
        <w:rPr>
          <w:u w:val="single"/>
        </w:rPr>
        <w:t>Access to Site and Rights of Way</w:t>
      </w:r>
      <w:r>
        <w:fldChar w:fldCharType="begin"/>
      </w:r>
      <w:r>
        <w:rPr/>
        <w:instrText xml:space="preserve"> TC "4.4</w:instrText>
        <w:tab/>
        <w:instrText xml:space="preserve">Access to Site and Rights of Way" \l 2 </w:instrText>
      </w:r>
      <w:r>
        <w:rPr/>
        <w:fldChar w:fldCharType="separate"/>
      </w:r>
      <w:r>
        <w:rPr/>
      </w:r>
      <w:r>
        <w:rPr/>
        <w:fldChar w:fldCharType="end"/>
      </w:r>
      <w:bookmarkStart w:id="33" w:name="__RefHeading___Toc482936826"/>
      <w:bookmarkEnd w:id="33"/>
      <w:r>
        <w:rPr/>
        <w:t>.  Owner shall provide at Owner’s expense, commencing not later than the date specified in the Project Schedule Summary, access to the Site and shall continue to provide Contractor and Subcontractors at Owner’s expense with reasonably unrestricted access to the Site until Provisional Acceptance.  Owner will arrange for all easements or other rights of way required for access to the Site and performance of the Work until Provisional Acceptance.</w:t>
      </w:r>
    </w:p>
    <w:p>
      <w:pPr>
        <w:pStyle w:val="BodyText"/>
        <w:rPr/>
      </w:pPr>
      <w:r>
        <w:rPr/>
      </w:r>
    </w:p>
    <w:p>
      <w:pPr>
        <w:pStyle w:val="Style2toc"/>
        <w:rPr/>
      </w:pPr>
      <w:r>
        <w:rPr/>
        <w:t>4.5</w:t>
        <w:tab/>
      </w:r>
      <w:r>
        <w:rPr>
          <w:u w:val="single"/>
        </w:rPr>
        <w:t>Governmental Authorizations</w:t>
      </w:r>
      <w:r>
        <w:fldChar w:fldCharType="begin"/>
      </w:r>
      <w:r>
        <w:rPr/>
        <w:instrText xml:space="preserve"> TC "4.5</w:instrText>
        <w:tab/>
        <w:instrText xml:space="preserve">Governmental Authorizations" \l 2 </w:instrText>
      </w:r>
      <w:r>
        <w:rPr/>
        <w:fldChar w:fldCharType="separate"/>
      </w:r>
      <w:r>
        <w:rPr/>
      </w:r>
      <w:r>
        <w:rPr/>
        <w:fldChar w:fldCharType="end"/>
      </w:r>
      <w:bookmarkStart w:id="34" w:name="__RefHeading___Toc482936827"/>
      <w:bookmarkEnd w:id="34"/>
      <w:r>
        <w:rPr>
          <w:u w:val="single"/>
        </w:rPr>
        <w:t>.</w:t>
      </w:r>
      <w:r>
        <w:rPr/>
        <w:t xml:space="preserve">  Owner shall be responsible for obtaining or causing to be obtained, the Governmental Authorizations listed in Exhibit K for which it is designated as responsible for submitting and obtaining which shall include, but not be limited to, all environmental permits and authorizations for which it is designated as responsible for submitting and obtaining and all other Governmental Authorizations required in order for the Facility to be located and operated at the Site for which it is designated as responsible for submitting and obtaining or which applicable Law requires to be issued in Owner’s name and Owner shall promptly deliver to Contractor copies of all such Governmental Authorizations. Owner shall use reasonable efforts (including, but not limited to, providing documents and information requested by Contractor) to assist Contractor in its efforts to obtain the Governmental Authorizations which it is required to submit and obtain pursuant to Section 3.5.</w:t>
      </w:r>
    </w:p>
    <w:p>
      <w:pPr>
        <w:pStyle w:val="BodyText"/>
        <w:rPr/>
      </w:pPr>
      <w:r>
        <w:rPr/>
      </w:r>
    </w:p>
    <w:p>
      <w:pPr>
        <w:pStyle w:val="Style2toc"/>
        <w:rPr/>
      </w:pPr>
      <w:r>
        <w:rPr/>
        <w:t>4.6</w:t>
        <w:tab/>
        <w:t>Operating Personnel</w:t>
      </w:r>
      <w:r>
        <w:fldChar w:fldCharType="begin"/>
      </w:r>
      <w:r>
        <w:rPr/>
        <w:instrText xml:space="preserve"> TC "4.6</w:instrText>
        <w:tab/>
        <w:instrText xml:space="preserve">Operating Personnel" \l 2 </w:instrText>
      </w:r>
      <w:r>
        <w:rPr/>
        <w:fldChar w:fldCharType="separate"/>
      </w:r>
      <w:r>
        <w:rPr/>
      </w:r>
      <w:r>
        <w:rPr/>
        <w:fldChar w:fldCharType="end"/>
      </w:r>
      <w:bookmarkStart w:id="35" w:name="__RefHeading___Toc482936828"/>
      <w:bookmarkEnd w:id="35"/>
      <w:r>
        <w:rPr/>
        <w:t>.</w:t>
      </w:r>
    </w:p>
    <w:p>
      <w:pPr>
        <w:pStyle w:val="BodyText"/>
        <w:rPr/>
      </w:pPr>
      <w:r>
        <w:rPr/>
      </w:r>
    </w:p>
    <w:p>
      <w:pPr>
        <w:pStyle w:val="BodyText"/>
        <w:rPr/>
      </w:pPr>
      <w:r>
        <w:rPr/>
        <w:tab/>
        <w:t>4.6.1</w:t>
        <w:tab/>
      </w:r>
      <w:r>
        <w:rPr>
          <w:u w:val="single"/>
        </w:rPr>
        <w:t>Qualified Personnel for Training</w:t>
      </w:r>
      <w:r>
        <w:rPr/>
        <w:t xml:space="preserve">.  Owner shall supply, or cause to be supplied, by not later than the date set out in Exhibit A, suitably qualified and, where necessary, licensed operators for training by Contractor as set forth in Exhibit O.  Owner shall supply, or cause to be supplied, such small tools, class rooms, office equipment and other similar equipment that is not provided by Contractor hereunder to facilitate on the job training of the operations personnel as Contractor has notified Owner in adequate time will be required. </w:t>
      </w:r>
    </w:p>
    <w:p>
      <w:pPr>
        <w:pStyle w:val="BodyText"/>
        <w:rPr/>
      </w:pPr>
      <w:r>
        <w:rPr/>
      </w:r>
    </w:p>
    <w:p>
      <w:pPr>
        <w:pStyle w:val="BodyText"/>
        <w:rPr/>
      </w:pPr>
      <w:r>
        <w:rPr/>
        <w:tab/>
        <w:t>4.6.2</w:t>
        <w:tab/>
      </w:r>
      <w:r>
        <w:rPr>
          <w:u w:val="single"/>
        </w:rPr>
        <w:t>Operators</w:t>
      </w:r>
      <w:r>
        <w:rPr/>
        <w:t>.  Subsequent to such training, Owner shall provide such operators to Contractor for the purpose of start-up, commissioning, and performance testing of the Facility until Provisional Acceptance.  Such operators will work under the control and supervision of the Operator at Contractor’s direction until Provisional Acceptance.  Contractor shall be responsible for the acts and omissions of the operators while they are working at the Facility at Contractor’s direction, save to the extent that such acts or omissions constitute willful misconduct or gross negligence by the operators.</w:t>
      </w:r>
    </w:p>
    <w:p>
      <w:pPr>
        <w:pStyle w:val="BodyText"/>
        <w:rPr/>
      </w:pPr>
      <w:r>
        <w:rPr/>
      </w:r>
    </w:p>
    <w:p>
      <w:pPr>
        <w:pStyle w:val="Style2toc"/>
        <w:rPr/>
      </w:pPr>
      <w:r>
        <w:rPr/>
        <w:t>4.7</w:t>
        <w:tab/>
      </w:r>
      <w:r>
        <w:rPr>
          <w:u w:val="single"/>
        </w:rPr>
        <w:t xml:space="preserve">Coordination with Offtakers </w:t>
      </w:r>
      <w:r>
        <w:fldChar w:fldCharType="begin"/>
      </w:r>
      <w:r>
        <w:rPr/>
        <w:instrText xml:space="preserve"> TC "4.7</w:instrText>
        <w:tab/>
        <w:instrText xml:space="preserve">Coordination with Offtakers " \l 2 </w:instrText>
      </w:r>
      <w:r>
        <w:rPr/>
        <w:fldChar w:fldCharType="separate"/>
      </w:r>
      <w:r>
        <w:rPr/>
      </w:r>
      <w:r>
        <w:rPr/>
        <w:fldChar w:fldCharType="end"/>
      </w:r>
      <w:bookmarkStart w:id="36" w:name="__RefHeading___Toc482936829"/>
      <w:bookmarkEnd w:id="36"/>
      <w:r>
        <w:rPr/>
        <w:t>.</w:t>
      </w:r>
      <w:r>
        <w:rPr>
          <w:b/>
        </w:rPr>
        <w:t xml:space="preserve">  </w:t>
      </w:r>
      <w:r>
        <w:rPr/>
        <w:t xml:space="preserve">Owner shall be responsible at all times for coordinating and communicating with the Offtakers with respect to all matters arising under any Project Agreement, including the submission of notices and other documents and the handling and processing of comments and directions given by Offtakes.  Owner shall arrange for the export of electrical energy from the Facility at all reasonable times when the Contractor desires to conduct start-up, operation, or testing; provided that the Owner shall not be required to provide for such export before the date set forth for first delivery of electrical energy in Exhibit M unless Contractor has given at least sixty (60) days' prior written notice of an earlier date for such delivery.  </w:t>
      </w:r>
    </w:p>
    <w:p>
      <w:pPr>
        <w:pStyle w:val="BodyText"/>
        <w:rPr/>
      </w:pPr>
      <w:r>
        <w:rPr/>
      </w:r>
    </w:p>
    <w:p>
      <w:pPr>
        <w:pStyle w:val="Style2toc"/>
        <w:rPr/>
      </w:pPr>
      <w:r>
        <w:rPr/>
        <w:t>4.8</w:t>
        <w:tab/>
      </w:r>
      <w:r>
        <w:rPr>
          <w:u w:val="single"/>
        </w:rPr>
        <w:t>Owner’s Representative</w:t>
      </w:r>
      <w:r>
        <w:fldChar w:fldCharType="begin"/>
      </w:r>
      <w:r>
        <w:rPr/>
        <w:instrText xml:space="preserve"> TC "4.8</w:instrText>
        <w:tab/>
        <w:instrText xml:space="preserve">Owner’s Representative" \l 2 </w:instrText>
      </w:r>
      <w:r>
        <w:rPr/>
        <w:fldChar w:fldCharType="separate"/>
      </w:r>
      <w:r>
        <w:rPr/>
      </w:r>
      <w:r>
        <w:rPr/>
        <w:fldChar w:fldCharType="end"/>
      </w:r>
      <w:bookmarkStart w:id="37" w:name="__RefHeading___Toc482936830"/>
      <w:bookmarkEnd w:id="37"/>
      <w:r>
        <w:rPr/>
        <w:t>.  On or before the Notice to Proceed Effective Date,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Agreement and the performance of Owner hereunder; provided however, that Owner’s Representative shall not have authority to agree to a Change Order or to amend or modify any provision of this Agreement unless Owner has given written notice to Contractor pursuant to this Agreement of express authority with respect to certain Change Orders being delegated to such Owner’s Representative.  Owner may change Owner’s Representative at any time by written notice to Contractor.</w:t>
      </w:r>
    </w:p>
    <w:p>
      <w:pPr>
        <w:pStyle w:val="BodyText"/>
        <w:rPr/>
      </w:pPr>
      <w:r>
        <w:rPr/>
      </w:r>
    </w:p>
    <w:p>
      <w:pPr>
        <w:pStyle w:val="Style2toc"/>
        <w:rPr/>
      </w:pPr>
      <w:r>
        <w:rPr/>
        <w:t>4.9</w:t>
        <w:tab/>
      </w:r>
      <w:r>
        <w:rPr>
          <w:u w:val="single"/>
        </w:rPr>
        <w:t>Divergences from Law</w:t>
      </w:r>
      <w:r>
        <w:fldChar w:fldCharType="begin"/>
      </w:r>
      <w:r>
        <w:rPr/>
        <w:instrText xml:space="preserve"> TC "4.9</w:instrText>
        <w:tab/>
        <w:instrText xml:space="preserve">Divergences from Law" \l 2 </w:instrText>
      </w:r>
      <w:r>
        <w:rPr/>
        <w:fldChar w:fldCharType="separate"/>
      </w:r>
      <w:r>
        <w:rPr/>
      </w:r>
      <w:r>
        <w:rPr/>
        <w:fldChar w:fldCharType="end"/>
      </w:r>
      <w:bookmarkStart w:id="38" w:name="__RefHeading___Toc482936831"/>
      <w:bookmarkEnd w:id="38"/>
      <w:r>
        <w:rPr/>
        <w:t>.  If Owner becomes aware of any divergence between any applicable Law or Governmental Authorization and the Specifications, Scope of Work, or any other provision of this Agreement, it shall give Contractor written notice specifying the divergence.</w:t>
      </w:r>
    </w:p>
    <w:p>
      <w:pPr>
        <w:pStyle w:val="BodyText"/>
        <w:rPr/>
      </w:pPr>
      <w:r>
        <w:rPr/>
      </w:r>
    </w:p>
    <w:p>
      <w:pPr>
        <w:pStyle w:val="Style2toc"/>
        <w:rPr/>
      </w:pPr>
      <w:r>
        <w:rPr/>
        <w:t>4.10</w:t>
        <w:tab/>
      </w:r>
      <w:r>
        <w:rPr>
          <w:u w:val="single"/>
        </w:rPr>
        <w:t>Owner Delay</w:t>
      </w:r>
      <w:r>
        <w:fldChar w:fldCharType="begin"/>
      </w:r>
      <w:r>
        <w:rPr/>
        <w:instrText xml:space="preserve"> TC "4.10</w:instrText>
        <w:tab/>
        <w:instrText xml:space="preserve">Owner Delay" \l 2 </w:instrText>
      </w:r>
      <w:r>
        <w:rPr/>
        <w:fldChar w:fldCharType="separate"/>
      </w:r>
      <w:r>
        <w:rPr/>
      </w:r>
      <w:r>
        <w:rPr/>
        <w:fldChar w:fldCharType="end"/>
      </w:r>
      <w:bookmarkStart w:id="39" w:name="__RefHeading___Toc482936832"/>
      <w:bookmarkEnd w:id="39"/>
      <w:r>
        <w:rPr/>
        <w:t>.  Contractor shall be entitled, in accordance with Section 6.8, to recover reasonable additional costs incurred, if any, and to a reasonable extension to the Guaranteed Completion Date and in respect of any delay suffered by reason of any Owner Delay.</w:t>
      </w:r>
    </w:p>
    <w:p>
      <w:pPr>
        <w:pStyle w:val="BodyText"/>
        <w:rPr/>
      </w:pPr>
      <w:r>
        <w:rPr/>
      </w:r>
    </w:p>
    <w:p>
      <w:pPr>
        <w:pStyle w:val="Style2toc"/>
        <w:rPr/>
      </w:pPr>
      <w:r>
        <w:rPr/>
        <w:t>4.11</w:t>
        <w:tab/>
      </w:r>
      <w:r>
        <w:rPr>
          <w:u w:val="single"/>
        </w:rPr>
        <w:t>Foreign Corrupt Practices Act</w:t>
      </w:r>
      <w:r>
        <w:fldChar w:fldCharType="begin"/>
      </w:r>
      <w:r>
        <w:rPr/>
        <w:instrText xml:space="preserve"> TC "4.11</w:instrText>
        <w:tab/>
        <w:instrText xml:space="preserve">Foreign Corrupt Practices Act" \l 2 </w:instrText>
      </w:r>
      <w:r>
        <w:rPr/>
        <w:fldChar w:fldCharType="separate"/>
      </w:r>
      <w:r>
        <w:rPr/>
      </w:r>
      <w:r>
        <w:rPr/>
        <w:fldChar w:fldCharType="end"/>
      </w:r>
      <w:bookmarkStart w:id="40" w:name="__RefHeading___Toc482936833"/>
      <w:bookmarkEnd w:id="40"/>
      <w:r>
        <w:rPr/>
        <w:t>.  Owner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any international public organization or any other Person, the payment of which would violate the laws of the United States of America, or the country or countries where the Work is performed, in whole or in part.  Owner agrees to indemnify, defend, and hold harmless, Contractor and its Subcontractors from and against any and all fines, penalties, related costs, and expenses, including reasonable legal expenses, attributable to any failure of Owner to comply with this Section 4.11 in connection with the project referred to in Recital A. of this Agreement.</w:t>
      </w:r>
    </w:p>
    <w:p>
      <w:pPr>
        <w:pStyle w:val="BodyText"/>
        <w:rPr/>
      </w:pPr>
      <w:r>
        <w:rPr/>
      </w:r>
    </w:p>
    <w:p>
      <w:pPr>
        <w:pStyle w:val="Style2toc"/>
        <w:rPr/>
      </w:pPr>
      <w:r>
        <w:rPr/>
        <w:t>4.12</w:t>
        <w:tab/>
      </w:r>
      <w:r>
        <w:rPr>
          <w:u w:val="single"/>
        </w:rPr>
        <w:t>Compliance with Law</w:t>
      </w:r>
      <w:r>
        <w:fldChar w:fldCharType="begin"/>
      </w:r>
      <w:r>
        <w:rPr/>
        <w:instrText xml:space="preserve"> TC "4.12</w:instrText>
        <w:tab/>
        <w:instrText xml:space="preserve">Compliance with Law" \l 2 </w:instrText>
      </w:r>
      <w:r>
        <w:rPr/>
        <w:fldChar w:fldCharType="separate"/>
      </w:r>
      <w:r>
        <w:rPr/>
      </w:r>
      <w:r>
        <w:rPr/>
        <w:fldChar w:fldCharType="end"/>
      </w:r>
      <w:bookmarkStart w:id="41" w:name="__RefHeading___Toc482936834"/>
      <w:bookmarkEnd w:id="41"/>
      <w:r>
        <w:rPr/>
        <w:t>.  In the performance of its obligations under this Agreement Owner shall,  ascertain and comply with all applicable Laws and Owner agrees to indemnify, defend, and hold harmless Contractor and Contractor Indemnitees from and against any and all fines, penalties, related costs, and expenses, including reasonable legal expenses and costs, attributable to any failure of Owner to comply with such Laws and Governmental Authorizations (subject to the provisions of Exhibit K) in connection with the performance of its obligations under this Agreement.</w:t>
      </w:r>
    </w:p>
    <w:p>
      <w:pPr>
        <w:pStyle w:val="BodyText"/>
        <w:rPr/>
      </w:pPr>
      <w:r>
        <w:rPr/>
      </w:r>
    </w:p>
    <w:p>
      <w:pPr>
        <w:pStyle w:val="Style2toc"/>
        <w:rPr/>
      </w:pPr>
      <w:r>
        <w:rPr/>
        <w:t>4.13</w:t>
        <w:tab/>
      </w:r>
      <w:r>
        <w:rPr>
          <w:u w:val="single"/>
        </w:rPr>
        <w:t>Taxes and Duties</w:t>
      </w:r>
      <w:r>
        <w:fldChar w:fldCharType="begin"/>
      </w:r>
      <w:r>
        <w:rPr/>
        <w:instrText xml:space="preserve"> TC "4.13</w:instrText>
        <w:tab/>
        <w:instrText xml:space="preserve">Taxes and Duties" \l 2 </w:instrText>
      </w:r>
      <w:r>
        <w:rPr/>
        <w:fldChar w:fldCharType="separate"/>
      </w:r>
      <w:r>
        <w:rPr/>
      </w:r>
      <w:r>
        <w:rPr/>
        <w:fldChar w:fldCharType="end"/>
      </w:r>
      <w:bookmarkStart w:id="42" w:name="__RefHeading___Toc482936835"/>
      <w:bookmarkEnd w:id="42"/>
      <w:r>
        <w:rPr/>
        <w:t>.  Owner shall be responsible to see to the payment of (and such are not included in the Contract Price) those taxes, fees, levies, or other governmental charges identified in Part II of Exhibit C-7.</w:t>
      </w:r>
    </w:p>
    <w:p>
      <w:pPr>
        <w:pStyle w:val="Style2toc"/>
        <w:rPr/>
      </w:pPr>
      <w:r>
        <w:rPr/>
      </w:r>
    </w:p>
    <w:p>
      <w:pPr>
        <w:pStyle w:val="Style2toc"/>
        <w:rPr/>
      </w:pPr>
      <w:r>
        <w:rPr/>
      </w:r>
    </w:p>
    <w:p>
      <w:pPr>
        <w:pStyle w:val="BodyText"/>
        <w:rPr/>
      </w:pPr>
      <w:r>
        <w:rPr/>
      </w:r>
    </w:p>
    <w:p>
      <w:pPr>
        <w:pStyle w:val="Style1toc"/>
        <w:rPr/>
      </w:pPr>
      <w:r>
        <w:rPr/>
        <w:t>ARTICLE 5</w:t>
      </w:r>
      <w:r>
        <w:fldChar w:fldCharType="begin"/>
      </w:r>
      <w:r>
        <w:rPr/>
        <w:instrText xml:space="preserve"> TC "ARTICLE 5:  COMMENCEMENT OF WORK" \l 1 </w:instrText>
      </w:r>
      <w:r>
        <w:rPr/>
        <w:fldChar w:fldCharType="separate"/>
      </w:r>
      <w:r>
        <w:rPr/>
      </w:r>
      <w:r>
        <w:rPr/>
        <w:fldChar w:fldCharType="end"/>
      </w:r>
      <w:bookmarkStart w:id="43" w:name="__RefHeading___Toc482936836"/>
      <w:bookmarkEnd w:id="43"/>
    </w:p>
    <w:p>
      <w:pPr>
        <w:pStyle w:val="Style1toc"/>
        <w:rPr/>
      </w:pPr>
      <w:r>
        <w:rPr/>
        <w:t>COMMENCEMENT OF WORK</w:t>
      </w:r>
    </w:p>
    <w:p>
      <w:pPr>
        <w:pStyle w:val="BodyText"/>
        <w:rPr/>
      </w:pPr>
      <w:r>
        <w:rPr/>
      </w:r>
    </w:p>
    <w:p>
      <w:pPr>
        <w:pStyle w:val="BodyText"/>
        <w:rPr/>
      </w:pPr>
      <w:r>
        <w:rPr/>
        <w:t>5.1</w:t>
        <w:tab/>
      </w:r>
      <w:r>
        <w:rPr>
          <w:u w:val="single"/>
        </w:rPr>
        <w:t>Commencement of Work</w:t>
      </w:r>
      <w:r>
        <w:fldChar w:fldCharType="begin"/>
      </w:r>
      <w:r>
        <w:rPr/>
        <w:instrText xml:space="preserve"> TC "5.1</w:instrText>
        <w:tab/>
        <w:instrText xml:space="preserve">Commencement of Work" \l 2 </w:instrText>
      </w:r>
      <w:r>
        <w:rPr/>
        <w:fldChar w:fldCharType="separate"/>
      </w:r>
      <w:r>
        <w:rPr/>
      </w:r>
      <w:r>
        <w:rPr/>
        <w:fldChar w:fldCharType="end"/>
      </w:r>
      <w:bookmarkStart w:id="44" w:name="__RefHeading___Toc482936837"/>
      <w:bookmarkEnd w:id="44"/>
      <w:r>
        <w:rPr/>
        <w:t>.</w:t>
      </w:r>
    </w:p>
    <w:p>
      <w:pPr>
        <w:pStyle w:val="BodyText"/>
        <w:rPr/>
      </w:pPr>
      <w:r>
        <w:rPr/>
      </w:r>
    </w:p>
    <w:p>
      <w:pPr>
        <w:pStyle w:val="BodyText"/>
        <w:rPr/>
      </w:pPr>
      <w:r>
        <w:rPr/>
        <w:tab/>
        <w:t>5.1.1</w:t>
        <w:tab/>
      </w:r>
      <w:r>
        <w:rPr>
          <w:u w:val="single"/>
        </w:rPr>
        <w:t>Pre-Notice to Proceed</w:t>
      </w:r>
      <w:r>
        <w:rPr/>
        <w:t xml:space="preserve">.  Owner and Contractor shall begin the performance of the part of the Scope of Work that is set out in Exhibit B-4.  Contractor shall receive assignment of any Work performed by Owner not later than the Notice to Proceed (except for assignment of the GE Contract) and Contractor shall be responsible for completion of same and shall proceed continuously and diligently to perform such Work.  </w:t>
      </w:r>
    </w:p>
    <w:p>
      <w:pPr>
        <w:pStyle w:val="BodyText"/>
        <w:rPr/>
      </w:pPr>
      <w:r>
        <w:rPr/>
      </w:r>
    </w:p>
    <w:p>
      <w:pPr>
        <w:pStyle w:val="BodyText"/>
        <w:rPr/>
      </w:pPr>
      <w:r>
        <w:rPr/>
        <w:tab/>
        <w:t>5.1.2</w:t>
        <w:tab/>
      </w:r>
      <w:r>
        <w:rPr>
          <w:u w:val="single"/>
        </w:rPr>
        <w:t>Notice to Proceed</w:t>
      </w:r>
      <w:r>
        <w:rPr/>
        <w:t>.  Owner may issue a written notice to proceed (the “Notice to Proceed”) to Contractor at any time after the signing of this Agreement (the “Notice to Proceed Issue Date”); provided that the effective date of the Notice to Proceed (the “Notice to Proceed Effective Date”) shall not be until all of the following have occurred:</w:t>
      </w:r>
    </w:p>
    <w:p>
      <w:pPr>
        <w:pStyle w:val="BodyText"/>
        <w:rPr/>
      </w:pPr>
      <w:r>
        <w:rPr/>
      </w:r>
    </w:p>
    <w:p>
      <w:pPr>
        <w:pStyle w:val="BodyTextIndent3"/>
        <w:rPr/>
      </w:pPr>
      <w:r>
        <w:rPr/>
        <w:t>5.1.2.1</w:t>
        <w:tab/>
        <w:t xml:space="preserve">the satisfaction or waiver by Contractor of any conditions to the effectiveness of the Notice to Proceed set forth in part 1 of Exhibit A; </w:t>
      </w:r>
    </w:p>
    <w:p>
      <w:pPr>
        <w:pStyle w:val="BodyText"/>
        <w:rPr/>
      </w:pPr>
      <w:r>
        <w:rPr/>
      </w:r>
    </w:p>
    <w:p>
      <w:pPr>
        <w:pStyle w:val="BodyTextIndent3"/>
        <w:rPr/>
      </w:pPr>
      <w:r>
        <w:rPr/>
        <w:t>5.1.2.2</w:t>
        <w:tab/>
        <w:t>the insurance required to be obtained by Owner pursuant to Article 9 shall be in effect;</w:t>
      </w:r>
    </w:p>
    <w:p>
      <w:pPr>
        <w:pStyle w:val="BodyText"/>
        <w:rPr/>
      </w:pPr>
      <w:r>
        <w:rPr/>
      </w:r>
    </w:p>
    <w:p>
      <w:pPr>
        <w:pStyle w:val="BodyTextIndent3"/>
        <w:rPr/>
      </w:pPr>
      <w:r>
        <w:rPr/>
        <w:t>5.1.2.3</w:t>
        <w:tab/>
        <w:t xml:space="preserve">Owner shall have provided for the assignment of all Pre-Notice to Proceed Work to Contractor, except that the GE Contract need not be assigned to achieve the Notice to Proceed Effective Date; however, Owner agrees to assign pursuant to the Assignment Agreement the GE Contract not later than thirty days after the Notice to Proceed Effective Date.  From the Notice to Proceed Effective Date until the assignment of GE Contract, Owner shall assist Contractor in obtaining technical data and other information from GE related to the gas turbine and shall permit the Contractor to communicate directly with GE.  If the assignment of the GE Contract is not made within the thirty day period as required in this Section 5.1.2.3 Contractor may request a Change Order with respect to such delay.; </w:t>
      </w:r>
    </w:p>
    <w:p>
      <w:pPr>
        <w:pStyle w:val="BodyText"/>
        <w:rPr/>
      </w:pPr>
      <w:r>
        <w:rPr/>
      </w:r>
    </w:p>
    <w:p>
      <w:pPr>
        <w:pStyle w:val="BodyTextIndent3"/>
        <w:rPr/>
      </w:pPr>
      <w:r>
        <w:rPr/>
        <w:t xml:space="preserve">5.1.2.4  Owner shall have provided Contractor with reasonably satisfactory evidence of Owner achieving financial closure for the Facility or providing Contractor with reasonable security for Owner’s payment obligations under this Agreement.  For purposes of this Section 5.1.2.4 a Five Million Five Hundred Thousand Dollars ($5,500,000) limited guaranty from Enron North America Corp., or Enron Corp., substantially in the form attached hereto as Exhibit T shall be deemed to be reasonable security for Owner’s payment obligations under this Agreement, provided, however if the owner has not achieved financial closure for the Facility prior to January 1, 2001 the amount of the limited guaranty shall be increased to not less than Ninety Million Dollars ($90,000,000); provided that upon financial closure for the Facility the limited guaranty shall be cancelled and Owner shall have no further liability or obligations under this Section 5.1.2.4.  </w:t>
      </w:r>
    </w:p>
    <w:p>
      <w:pPr>
        <w:pStyle w:val="BodyTextIndent3"/>
        <w:rPr/>
      </w:pPr>
      <w:r>
        <w:rPr/>
      </w:r>
    </w:p>
    <w:p>
      <w:pPr>
        <w:pStyle w:val="BodyTextIndent3"/>
        <w:rPr/>
      </w:pPr>
      <w:r>
        <w:rPr/>
      </w:r>
    </w:p>
    <w:p>
      <w:pPr>
        <w:pStyle w:val="BodyTextIndent3"/>
        <w:rPr/>
      </w:pPr>
      <w:r>
        <w:rPr/>
        <w:t>5.1.2.5</w:t>
        <w:tab/>
        <w:t>Contractor has received the milestone payment associated with the Notice to Proceed.</w:t>
      </w:r>
    </w:p>
    <w:p>
      <w:pPr>
        <w:pStyle w:val="BodyTextIndent3"/>
        <w:rPr/>
      </w:pPr>
      <w:r>
        <w:rPr/>
        <w:br/>
        <w:tab/>
        <w:t xml:space="preserve">If the Notice to Proceed Effective Date does not occur prior to the date one year after the Effective Date, then in addition to the automatic time extension of the dates which are set based on the Notice to Proceed Effective Date, the Contract Price shall be adjusted based on the provisions of Exhibit C-3.  </w:t>
      </w:r>
    </w:p>
    <w:p>
      <w:pPr>
        <w:pStyle w:val="BodyTextIndent3"/>
        <w:rPr/>
      </w:pPr>
      <w:r>
        <w:rPr/>
      </w:r>
    </w:p>
    <w:p>
      <w:pPr>
        <w:pStyle w:val="BodyText"/>
        <w:rPr/>
      </w:pPr>
      <w:r>
        <w:rPr/>
        <w:tab/>
        <w:t>5.1.3</w:t>
        <w:tab/>
      </w:r>
      <w:r>
        <w:rPr>
          <w:u w:val="single"/>
        </w:rPr>
        <w:t>Commitments</w:t>
      </w:r>
      <w:r>
        <w:rPr/>
        <w:t>.  Owner shall have no commitment to compensate Contractor for the performance of the Work under this Agreement or related to the Facility, other than Work listed on Exhibit B-4, until Owner has delivered the Notice to Proceed.  If Owner cancels this Agreement in accordance with Section 16.2 prior to the Notice to Proceed, Owner shall not be liable for any cancellation fees or any other compensation whatsoever, other than for Work listed on Exhibit B-4.</w:t>
      </w:r>
    </w:p>
    <w:p>
      <w:pPr>
        <w:pStyle w:val="BodyText"/>
        <w:rPr/>
      </w:pPr>
      <w:r>
        <w:rPr/>
      </w:r>
    </w:p>
    <w:p>
      <w:pPr>
        <w:pStyle w:val="Style2toc"/>
        <w:rPr/>
      </w:pPr>
      <w:r>
        <w:rPr/>
        <w:t>5.2</w:t>
        <w:tab/>
      </w:r>
      <w:r>
        <w:rPr>
          <w:u w:val="single"/>
        </w:rPr>
        <w:t>Project Schedule</w:t>
      </w:r>
      <w:r>
        <w:fldChar w:fldCharType="begin"/>
      </w:r>
      <w:r>
        <w:rPr/>
        <w:instrText xml:space="preserve"> TC "5.2</w:instrText>
        <w:tab/>
        <w:instrText xml:space="preserve">Project Schedule" \l 2 </w:instrText>
      </w:r>
      <w:r>
        <w:rPr/>
        <w:fldChar w:fldCharType="separate"/>
      </w:r>
      <w:r>
        <w:rPr/>
      </w:r>
      <w:r>
        <w:rPr/>
        <w:fldChar w:fldCharType="end"/>
      </w:r>
      <w:bookmarkStart w:id="45" w:name="__RefHeading___Toc482936838"/>
      <w:bookmarkEnd w:id="45"/>
      <w:r>
        <w:rPr/>
        <w:t>.</w:t>
      </w:r>
    </w:p>
    <w:p>
      <w:pPr>
        <w:pStyle w:val="BodyText"/>
        <w:rPr/>
      </w:pPr>
      <w:r>
        <w:rPr/>
      </w:r>
    </w:p>
    <w:p>
      <w:pPr>
        <w:pStyle w:val="BodyText"/>
        <w:rPr/>
      </w:pPr>
      <w:r>
        <w:rPr/>
        <w:tab/>
        <w:t>5.2.1</w:t>
        <w:tab/>
      </w:r>
      <w:r>
        <w:rPr>
          <w:u w:val="single"/>
        </w:rPr>
        <w:t>Preparation</w:t>
      </w:r>
      <w:r>
        <w:rPr/>
        <w:t>.  Within thirty (30) days following the Notice to Proceed Effective Date, Contractor shall prepare and submit to Owner a detailed construction schedule (the “Project Schedule”), consistent with the Project Schedule Summary, which shall be designed to have the</w:t>
      </w:r>
      <w:r>
        <w:rPr>
          <w:b/>
        </w:rPr>
        <w:t xml:space="preserve"> </w:t>
      </w:r>
      <w:r>
        <w:rPr/>
        <w:t>Work completed on a timely basis by the Guaranteed Completion Date.  The Project Schedule shall be complete in all respects, covering engineering, procurement, delivery of Equipment, activities at the Site, and testing and required dates for all items to be furnished by Owner.  In addition, Contractor shall submit a narrative description of its management plan for performing the Work to meet the Project Schedule.</w:t>
      </w:r>
    </w:p>
    <w:p>
      <w:pPr>
        <w:pStyle w:val="BodyText"/>
        <w:rPr/>
      </w:pPr>
      <w:r>
        <w:rPr/>
      </w:r>
    </w:p>
    <w:p>
      <w:pPr>
        <w:pStyle w:val="BodyText"/>
        <w:rPr/>
      </w:pPr>
      <w:r>
        <w:rPr/>
        <w:tab/>
        <w:t>5.2.2</w:t>
        <w:tab/>
      </w:r>
      <w:r>
        <w:rPr>
          <w:u w:val="single"/>
        </w:rPr>
        <w:t>Revision and Updating</w:t>
      </w:r>
      <w:r>
        <w:rPr/>
        <w:t>.  Contractor shall promptly inform Owner of any proposed material change in the Project Schedule, and shall furnish Owner with a revised schedule and narrative showing work complete to date and plan for completion.  The Project Schedule and narrative shall be kept up</w:t>
        <w:noBreakHyphen/>
        <w:t>to</w:t>
        <w:noBreakHyphen/>
        <w:t>date, taking into account the actual progress of the Work and shall be revised, if necessary, and included with the progress report required by Section 5.3.</w:t>
      </w:r>
    </w:p>
    <w:p>
      <w:pPr>
        <w:pStyle w:val="BodyText"/>
        <w:rPr/>
      </w:pPr>
      <w:r>
        <w:rPr/>
      </w:r>
    </w:p>
    <w:p>
      <w:pPr>
        <w:pStyle w:val="Style2toc"/>
        <w:rPr/>
      </w:pPr>
      <w:r>
        <w:rPr/>
        <w:t>5.3</w:t>
        <w:tab/>
      </w:r>
      <w:r>
        <w:rPr>
          <w:u w:val="single"/>
        </w:rPr>
        <w:t>Progress Reports and Consultation</w:t>
      </w:r>
      <w:r>
        <w:fldChar w:fldCharType="begin"/>
      </w:r>
      <w:r>
        <w:rPr/>
        <w:instrText xml:space="preserve"> TC "5.3</w:instrText>
        <w:tab/>
        <w:instrText xml:space="preserve">Progress Reports and Consultation" \l 2 </w:instrText>
      </w:r>
      <w:r>
        <w:rPr/>
        <w:fldChar w:fldCharType="separate"/>
      </w:r>
      <w:r>
        <w:rPr/>
      </w:r>
      <w:r>
        <w:rPr/>
        <w:fldChar w:fldCharType="end"/>
      </w:r>
      <w:bookmarkStart w:id="46" w:name="__RefHeading___Toc482936839"/>
      <w:bookmarkEnd w:id="46"/>
      <w:r>
        <w:rPr/>
        <w:t>.</w:t>
      </w:r>
    </w:p>
    <w:p>
      <w:pPr>
        <w:pStyle w:val="BodyTextIndent"/>
        <w:rPr>
          <w:b/>
        </w:rPr>
      </w:pPr>
      <w:r>
        <w:rPr/>
        <w:t>5.3.1</w:t>
        <w:tab/>
      </w:r>
      <w:r>
        <w:rPr>
          <w:u w:val="single"/>
        </w:rPr>
        <w:t>Progress Reports</w:t>
      </w:r>
      <w:r>
        <w:rPr/>
        <w:t>.  Contractor shall submit to Owner, by the sixteenth (16th) day of each month, a written progress report (in form reasonably satisfactory to Owner) that shall include, at a minimum, a description of the progress of the Work, details regarding the completion of any milestones in the Milestone Payment Schedule, the status of the supply of goods, materials and Equipment necessary for the completion of the Work, a comparison of the actual schedule of the Work with the Project Schedule, and an evaluation of problems and deficiencies and a description of any planned corrective action with respect thereto.  The monthly progress report shall be delivered to Owner’s Representative.  If Owner so directs, Contractor also shall conduct appropriate review meetings at mutually agreeable locations with Representatives of Owner to review the status of the Work.  Contractor shall promptly notify Owner in writing at any time if Contractor has reason to believe that there will be a material deviation in the Project Schedule which may result in Contractor failing to meet the Guaranteed Completion Date or may affect the time required for Owner to perform any of its obligations under Article 4, and Contractor will specify in said notice any corrective action planned to be taken by Contractor.</w:t>
      </w:r>
    </w:p>
    <w:p>
      <w:pPr>
        <w:pStyle w:val="BodyText"/>
        <w:rPr>
          <w:b/>
        </w:rPr>
      </w:pPr>
      <w:r>
        <w:rPr>
          <w:b/>
        </w:rPr>
      </w:r>
    </w:p>
    <w:p>
      <w:pPr>
        <w:pStyle w:val="BodyTextIndent"/>
        <w:rPr/>
      </w:pPr>
      <w:r>
        <w:rPr/>
        <w:t>5.3.2</w:t>
        <w:tab/>
      </w:r>
      <w:r>
        <w:rPr>
          <w:u w:val="single"/>
        </w:rPr>
        <w:t>Additional Reports</w:t>
      </w:r>
      <w:r>
        <w:rPr/>
        <w:t>.  Should any material problem, emergency, strike, injury, work stoppage, or legal problem be anticipated, or any unanticipated event occur which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such problem or event and shall deliver the significant event report to Owner as soon as reasonably practicable.  Owner may at any time request a significant event report with respect to any event that Owner reasonably regards as significant.</w:t>
      </w:r>
    </w:p>
    <w:p>
      <w:pPr>
        <w:pStyle w:val="BodyText"/>
        <w:rPr/>
      </w:pPr>
      <w:r>
        <w:rPr/>
      </w:r>
    </w:p>
    <w:p>
      <w:pPr>
        <w:pStyle w:val="Style1toc"/>
        <w:rPr/>
      </w:pPr>
      <w:r>
        <w:rPr/>
        <w:t>ARTICLE 6</w:t>
      </w:r>
      <w:r>
        <w:fldChar w:fldCharType="begin"/>
      </w:r>
      <w:r>
        <w:rPr/>
        <w:instrText xml:space="preserve"> TC "ARTICLE 6:  CHANGES" \l 1 </w:instrText>
      </w:r>
      <w:r>
        <w:rPr/>
        <w:fldChar w:fldCharType="separate"/>
      </w:r>
      <w:r>
        <w:rPr/>
      </w:r>
      <w:r>
        <w:rPr/>
        <w:fldChar w:fldCharType="end"/>
      </w:r>
      <w:bookmarkStart w:id="47" w:name="__RefHeading___Toc482936840"/>
      <w:bookmarkEnd w:id="47"/>
    </w:p>
    <w:p>
      <w:pPr>
        <w:pStyle w:val="Style1toc"/>
        <w:rPr/>
      </w:pPr>
      <w:r>
        <w:rPr/>
        <w:t>CHANGES</w:t>
      </w:r>
    </w:p>
    <w:p>
      <w:pPr>
        <w:pStyle w:val="BodyText"/>
        <w:rPr/>
      </w:pPr>
      <w:r>
        <w:rPr/>
      </w:r>
    </w:p>
    <w:p>
      <w:pPr>
        <w:pStyle w:val="Style2toc"/>
        <w:rPr/>
      </w:pPr>
      <w:r>
        <w:rPr/>
        <w:t>6.1</w:t>
        <w:tab/>
      </w:r>
      <w:r>
        <w:rPr>
          <w:u w:val="single"/>
        </w:rPr>
        <w:t>Change Orders</w:t>
      </w:r>
      <w:r>
        <w:fldChar w:fldCharType="begin"/>
      </w:r>
      <w:r>
        <w:rPr/>
        <w:instrText xml:space="preserve"> TC "6.1</w:instrText>
        <w:tab/>
        <w:instrText xml:space="preserve">Change Orders" \l 2 </w:instrText>
      </w:r>
      <w:r>
        <w:rPr/>
        <w:fldChar w:fldCharType="separate"/>
      </w:r>
      <w:r>
        <w:rPr/>
      </w:r>
      <w:r>
        <w:rPr/>
        <w:fldChar w:fldCharType="end"/>
      </w:r>
      <w:bookmarkStart w:id="48" w:name="__RefHeading___Toc482936841"/>
      <w:bookmarkEnd w:id="48"/>
      <w:r>
        <w:rPr/>
        <w:t>.  Except as set forth in Section 6.6, no Change shall be made except in accordance with a duly issued Change Order executed in writing by Owner or as determined in any dispute resolution in accordance with Article 19.  All Change Orders shall contain full particulars of the Changes, and any adjustments of the Contract Price, Project Schedule, Performance Guaranties, Minimum Performance Guaranties, the Availability Guaranty, warranties, Guaranteed Completion Date, and any other modification to this Agreement.</w:t>
      </w:r>
    </w:p>
    <w:p>
      <w:pPr>
        <w:pStyle w:val="BodyText"/>
        <w:rPr/>
      </w:pPr>
      <w:r>
        <w:rPr/>
      </w:r>
    </w:p>
    <w:p>
      <w:pPr>
        <w:pStyle w:val="Style2toc"/>
        <w:rPr/>
      </w:pPr>
      <w:r>
        <w:rPr/>
        <w:t>6.2</w:t>
        <w:tab/>
      </w:r>
      <w:r>
        <w:rPr>
          <w:u w:val="single"/>
        </w:rPr>
        <w:t>Owner Directed Changes</w:t>
      </w:r>
      <w:r>
        <w:fldChar w:fldCharType="begin"/>
      </w:r>
      <w:r>
        <w:rPr/>
        <w:instrText xml:space="preserve"> TC "6.2</w:instrText>
        <w:tab/>
        <w:instrText xml:space="preserve">Owner Directed Changes" \l 2 </w:instrText>
      </w:r>
      <w:r>
        <w:rPr/>
        <w:fldChar w:fldCharType="separate"/>
      </w:r>
      <w:r>
        <w:rPr/>
      </w:r>
      <w:r>
        <w:rPr/>
        <w:fldChar w:fldCharType="end"/>
      </w:r>
      <w:bookmarkStart w:id="49" w:name="__RefHeading___Toc482936842"/>
      <w:bookmarkEnd w:id="49"/>
      <w:r>
        <w:rPr/>
        <w:t>.  Owner, at any time, by written notice to Contractor, may direct Changes in the Work consisting of additions, deletions, modifications, substitutions, or other Changes within the general scope of this Agreement.</w:t>
      </w:r>
    </w:p>
    <w:p>
      <w:pPr>
        <w:pStyle w:val="BodyText"/>
        <w:rPr/>
      </w:pPr>
      <w:r>
        <w:rPr/>
      </w:r>
    </w:p>
    <w:p>
      <w:pPr>
        <w:pStyle w:val="Style2toc"/>
        <w:rPr/>
      </w:pPr>
      <w:r>
        <w:rPr/>
        <w:t>6.3</w:t>
        <w:tab/>
      </w:r>
      <w:r>
        <w:rPr>
          <w:u w:val="single"/>
        </w:rPr>
        <w:t>Contractor Changes</w:t>
      </w:r>
      <w:r>
        <w:fldChar w:fldCharType="begin"/>
      </w:r>
      <w:r>
        <w:rPr/>
        <w:instrText xml:space="preserve"> TC "6.3</w:instrText>
        <w:tab/>
        <w:instrText xml:space="preserve">Contractor Changes" \l 2 </w:instrText>
      </w:r>
      <w:r>
        <w:rPr/>
        <w:fldChar w:fldCharType="separate"/>
      </w:r>
      <w:r>
        <w:rPr/>
      </w:r>
      <w:r>
        <w:rPr/>
        <w:fldChar w:fldCharType="end"/>
      </w:r>
      <w:bookmarkStart w:id="50" w:name="__RefHeading___Toc482936843"/>
      <w:bookmarkEnd w:id="50"/>
      <w:r>
        <w:rPr/>
        <w:t>.  Contractor may and in certain circumstances must, by written notice, request a Change.  Upon receipt of Contractor’s request and any supporting documentation reasonably requested by Owner, then within fifteen (15) Business Days Owner will notify Contractor of its acceptance or rejection of such request.  Upon Owner’s approval of such request and agreement on the terms of an associated Change Order, Contractor may proceed with the implementation of such Change.  If Owner elects not to proceed with any Change requested by Contractor resulting from a Change in Law, then Contractor shall have no liability under this Agreement for the consequences of such election not to proceed with such Change.  If Owner elects not to proceed with any Change requested by Contractor otherwise than resulting from a Change in Law, then Contractor shall continue to be obligated to perform its obligations under this Agreement without the Change that it had requested and shall not be entitled to any relief or exclusion from liability under this Agreement arising from such election not to proceed with such Change.</w:t>
      </w:r>
    </w:p>
    <w:p>
      <w:pPr>
        <w:pStyle w:val="BodyText"/>
        <w:rPr/>
      </w:pPr>
      <w:r>
        <w:rPr/>
      </w:r>
    </w:p>
    <w:p>
      <w:pPr>
        <w:pStyle w:val="Style2toc"/>
        <w:rPr/>
      </w:pPr>
      <w:r>
        <w:rPr/>
        <w:t>6.4</w:t>
        <w:tab/>
      </w:r>
      <w:r>
        <w:rPr>
          <w:u w:val="single"/>
        </w:rPr>
        <w:t>Definition of Change</w:t>
      </w:r>
      <w:r>
        <w:fldChar w:fldCharType="begin"/>
      </w:r>
      <w:r>
        <w:rPr/>
        <w:instrText xml:space="preserve"> TC "6.4</w:instrText>
        <w:tab/>
        <w:instrText xml:space="preserve">Definition of Change" \l 2 </w:instrText>
      </w:r>
      <w:r>
        <w:rPr/>
        <w:fldChar w:fldCharType="separate"/>
      </w:r>
      <w:r>
        <w:rPr/>
      </w:r>
      <w:r>
        <w:rPr/>
        <w:fldChar w:fldCharType="end"/>
      </w:r>
      <w:bookmarkStart w:id="51" w:name="__RefHeading___Toc482936844"/>
      <w:bookmarkEnd w:id="51"/>
      <w:r>
        <w:rPr/>
        <w:t xml:space="preserve">.  A Change may only result from the following: Owner directed changes pursuant to Section 6.2, Contractor requested changes agreed to by Owner pursuant to Section 6.3, Owner Delay, Force Majeure, Change in Law, a suspension of the Work pursuant to Section 16.4, or the gas turbine generator contract that is assigned to Contractor by Owner pursuant to the Assignment Agreement being different from the draft agreement by and between Enron North America Corp. and GE Power Systems Inc. (“Draft GE Contract”) which draft  is attached hereto as Exhibit U, and such difference being shown by Contractor to materially change the cost or time schedule for completing the Work.  For purposes of this Section 6.4, the Draft GE Contract will be treated as though (i) it requires appropriate storage for the delivery of the gas turbine to the Site after April 1, 2001, but not later than April 27, 2001, (ii) it provides the buyer of the gas turbine the ability to request an earlier delivery of the gas turbine, and (iii) it requires second breaker synchronizing capability and noise attenuation equipment to provide 62 dBA far field sound levels. </w:t>
      </w:r>
    </w:p>
    <w:p>
      <w:pPr>
        <w:pStyle w:val="BodyText"/>
        <w:rPr/>
      </w:pPr>
      <w:r>
        <w:rPr/>
      </w:r>
    </w:p>
    <w:p>
      <w:pPr>
        <w:pStyle w:val="Style2toc"/>
        <w:rPr/>
      </w:pPr>
      <w:r>
        <w:rPr/>
        <w:t>6.5</w:t>
        <w:tab/>
      </w:r>
      <w:r>
        <w:rPr>
          <w:u w:val="single"/>
        </w:rPr>
        <w:t>Adjustments to Agreement</w:t>
      </w:r>
      <w:r>
        <w:fldChar w:fldCharType="begin"/>
      </w:r>
      <w:r>
        <w:rPr/>
        <w:instrText xml:space="preserve"> TC "6.5</w:instrText>
        <w:tab/>
        <w:instrText xml:space="preserve">Adjustments to Agreement" \l 2 </w:instrText>
      </w:r>
      <w:r>
        <w:rPr/>
        <w:fldChar w:fldCharType="separate"/>
      </w:r>
      <w:r>
        <w:rPr/>
      </w:r>
      <w:r>
        <w:rPr/>
        <w:fldChar w:fldCharType="end"/>
      </w:r>
      <w:bookmarkStart w:id="52" w:name="__RefHeading___Toc482936845"/>
      <w:bookmarkEnd w:id="52"/>
      <w:r>
        <w:rPr/>
        <w:t>.  Should any Change Order cause an increase or decrease in the cost of or time required for performance of this Agreement by Contractor or otherwise affect any provision of this Agreement, then an adjustment will be made to the Contract Price, Project Schedule, Minimum Performance Guaranties, Performance Guaranties, Guaranteed Completion Date, Milestone Payment Schedule, or any other provisions of this Agreement which are affected by such Change Order.  When Contractor is notified of or becomes aware of a Change, Contractor shall promptly prepare and submit to Owner an estimate of the increase or decrease, if any, in the cost and time required to complete the Work, together with an explanation of the basis for such estimate, and shall inform Owner whether, in Contractor’s opinion, such Change should result in an adjustment pursuant to this Agreement, specifying the relevant provision of this Agreement.  The price of any Work required or deleted by a Change shall be either a lump</w:t>
        <w:noBreakHyphen/>
        <w:t>sum fixed price mutually agreed to by the Parties or a cost plus price calculated on the basis of Exhibit F, unless the parties agree otherwise.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labor, taxes, markup, and overhead added or deleted by the Change.  If Contractor and Owner fail to agree on Contractor’s entitlement to an adjustment or the nature of such adjustment, then the provisions of Article 19 shall be invoked to resolve the dispute.  If Owner fails to agree to a Contractor request for an extension of the Guaranteed Completion Date to which Contractor is ultimately determined to be entitled, then Contractor is entitled to a Change for any increased cost resulting from its extra efforts to meet the Guaranteed Completion Date during resolution of the dispute.</w:t>
      </w:r>
    </w:p>
    <w:p>
      <w:pPr>
        <w:pStyle w:val="BodyText"/>
        <w:rPr/>
      </w:pPr>
      <w:r>
        <w:rPr/>
      </w:r>
    </w:p>
    <w:p>
      <w:pPr>
        <w:pStyle w:val="Style2toc"/>
        <w:rPr/>
      </w:pPr>
      <w:r>
        <w:rPr/>
        <w:t>6.6</w:t>
        <w:tab/>
      </w:r>
      <w:r>
        <w:rPr>
          <w:u w:val="single"/>
        </w:rPr>
        <w:t>Performance of Changes</w:t>
      </w:r>
      <w:r>
        <w:fldChar w:fldCharType="begin"/>
      </w:r>
      <w:r>
        <w:rPr/>
        <w:instrText xml:space="preserve"> TC "6.6</w:instrText>
        <w:tab/>
        <w:instrText xml:space="preserve">Performance of Changes" \l 2 </w:instrText>
      </w:r>
      <w:r>
        <w:rPr/>
        <w:fldChar w:fldCharType="separate"/>
      </w:r>
      <w:r>
        <w:rPr/>
      </w:r>
      <w:r>
        <w:rPr/>
        <w:fldChar w:fldCharType="end"/>
      </w:r>
      <w:bookmarkStart w:id="53" w:name="__RefHeading___Toc482936846"/>
      <w:bookmarkEnd w:id="53"/>
      <w:r>
        <w:rPr/>
        <w:t>.  In the event the Parties are unable to agree on the adjustments applicable to a Change, then Contractor shall, if directed by Owner, nevertheless proceed to perform such Change notwithstanding either Party invoking the provisions of Article 19 to resolve the dispute and so long as Contractor is paid the costs incurred in performing such Change in accordance with Exhibit F.  Upon the request of either Party the Parties shall be required to use the Fast Track Arbitration provision described in Section 19.2 to resolve issues related to the Change Order and the related Change.</w:t>
      </w:r>
    </w:p>
    <w:p>
      <w:pPr>
        <w:pStyle w:val="BodyText"/>
        <w:rPr/>
      </w:pPr>
      <w:r>
        <w:rPr/>
      </w:r>
    </w:p>
    <w:p>
      <w:pPr>
        <w:pStyle w:val="Style2toc"/>
        <w:rPr/>
      </w:pPr>
      <w:r>
        <w:rPr/>
        <w:t>6.7</w:t>
        <w:tab/>
      </w:r>
      <w:r>
        <w:rPr>
          <w:u w:val="single"/>
        </w:rPr>
        <w:t>Other Provisions Unaffected</w:t>
      </w:r>
      <w:r>
        <w:fldChar w:fldCharType="begin"/>
      </w:r>
      <w:r>
        <w:rPr/>
        <w:instrText xml:space="preserve"> TC "6.7</w:instrText>
        <w:tab/>
        <w:instrText xml:space="preserve">Other Provisions Unaffected" \l 2 </w:instrText>
      </w:r>
      <w:r>
        <w:rPr/>
        <w:fldChar w:fldCharType="separate"/>
      </w:r>
      <w:r>
        <w:rPr/>
      </w:r>
      <w:r>
        <w:rPr/>
        <w:fldChar w:fldCharType="end"/>
      </w:r>
      <w:bookmarkStart w:id="54" w:name="__RefHeading___Toc482936847"/>
      <w:bookmarkEnd w:id="54"/>
      <w:r>
        <w:rPr/>
        <w:t>.</w:t>
      </w:r>
      <w:r>
        <w:rPr>
          <w:b/>
        </w:rPr>
        <w:t xml:space="preserve">  </w:t>
      </w:r>
      <w:r>
        <w:rPr/>
        <w:t>Except to the extent a Change specifically amends one or more provisions hereof, all provisions of this Agreement shall apply to all Changes, and no Change shall be implied as a result of any other Change.</w:t>
      </w:r>
    </w:p>
    <w:p>
      <w:pPr>
        <w:pStyle w:val="BodyText"/>
        <w:rPr/>
      </w:pPr>
      <w:r>
        <w:rPr/>
      </w:r>
    </w:p>
    <w:p>
      <w:pPr>
        <w:pStyle w:val="Style2toc"/>
        <w:rPr/>
      </w:pPr>
      <w:r>
        <w:rPr/>
        <w:t>6.8</w:t>
        <w:tab/>
      </w:r>
      <w:r>
        <w:rPr>
          <w:u w:val="single"/>
        </w:rPr>
        <w:t>Change in Law or Owner Delay</w:t>
      </w:r>
      <w:r>
        <w:fldChar w:fldCharType="begin"/>
      </w:r>
      <w:r>
        <w:rPr/>
        <w:instrText xml:space="preserve"> TC "6.8</w:instrText>
        <w:tab/>
        <w:instrText xml:space="preserve">Change in Law or Owner Delay" \l 2 </w:instrText>
      </w:r>
      <w:r>
        <w:rPr/>
        <w:fldChar w:fldCharType="separate"/>
      </w:r>
      <w:r>
        <w:rPr/>
      </w:r>
      <w:r>
        <w:rPr/>
        <w:fldChar w:fldCharType="end"/>
      </w:r>
      <w:bookmarkStart w:id="55" w:name="__RefHeading___Toc482936848"/>
      <w:bookmarkEnd w:id="55"/>
      <w:r>
        <w:rPr/>
        <w:t>.</w:t>
      </w:r>
    </w:p>
    <w:p>
      <w:pPr>
        <w:pStyle w:val="BodyText"/>
        <w:rPr/>
      </w:pPr>
      <w:r>
        <w:rPr/>
      </w:r>
    </w:p>
    <w:p>
      <w:pPr>
        <w:pStyle w:val="BodyText"/>
        <w:rPr/>
      </w:pPr>
      <w:r>
        <w:rPr/>
        <w:tab/>
        <w:t>6.8.1</w:t>
        <w:tab/>
      </w:r>
      <w:r>
        <w:rPr>
          <w:u w:val="single"/>
        </w:rPr>
        <w:t>Notice to Owner</w:t>
      </w:r>
      <w:r>
        <w:rPr/>
        <w:t>.  Contractor shall give timely notice to Owner of any event or circumstance that Contractor believes is or might become Owner Delay or a Change in Law, which notice shall include the information required with respect to the associated Change that is required to be provided by Contractor pursuant to Section 6.5.  Such notice shall be issued promptly but in no event later than within ten (10) days following actual knowledge of such condition by Contractor.  If it is impracticable to specify the adjustments that Contractor will claim, then Contractor shall provide Owner with periodic supplemental notices during the period the event or circumstance continues to keep Owner informed of any change, development, progress, or other relevant information concerning the event or circumstance.</w:t>
      </w:r>
    </w:p>
    <w:p>
      <w:pPr>
        <w:pStyle w:val="BodyText"/>
        <w:rPr/>
      </w:pPr>
      <w:r>
        <w:rPr/>
      </w:r>
    </w:p>
    <w:p>
      <w:pPr>
        <w:pStyle w:val="BodyText"/>
        <w:rPr/>
      </w:pPr>
      <w:r>
        <w:rPr/>
        <w:tab/>
        <w:t>6.8.2</w:t>
        <w:tab/>
      </w:r>
      <w:r>
        <w:rPr>
          <w:u w:val="single"/>
        </w:rPr>
        <w:t>Mitigation of Event</w:t>
      </w:r>
      <w:r>
        <w:rPr/>
        <w:t>.  Contractor shall use reasonable efforts to remove or mitigate the effects of any Owner Delay or Change in Law.  Contractor also shall use reasonable efforts to minimize the delay caused thereby, but shall not, without the approval of Owner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Guaranteed Completion Date in effect prior to the occurrence of such Owner Delay or Change in Law.</w:t>
      </w:r>
    </w:p>
    <w:p>
      <w:pPr>
        <w:pStyle w:val="BodyText"/>
        <w:rPr/>
      </w:pPr>
      <w:r>
        <w:rPr/>
      </w:r>
    </w:p>
    <w:p>
      <w:pPr>
        <w:pStyle w:val="Style1toc"/>
        <w:rPr/>
      </w:pPr>
      <w:r>
        <w:rPr/>
        <w:t>ARTICLE 7</w:t>
      </w:r>
      <w:r>
        <w:fldChar w:fldCharType="begin"/>
      </w:r>
      <w:r>
        <w:rPr/>
        <w:instrText xml:space="preserve"> TC "ARTICLE 7: CONTRACT PRICE; PAYMENTS TO CONTRACTOR" \l 1 </w:instrText>
      </w:r>
      <w:r>
        <w:rPr/>
        <w:fldChar w:fldCharType="separate"/>
      </w:r>
      <w:r>
        <w:rPr/>
      </w:r>
      <w:r>
        <w:rPr/>
        <w:fldChar w:fldCharType="end"/>
      </w:r>
      <w:bookmarkStart w:id="56" w:name="__RefHeading___Toc482936849"/>
      <w:bookmarkEnd w:id="56"/>
    </w:p>
    <w:p>
      <w:pPr>
        <w:pStyle w:val="Style1toc"/>
        <w:rPr/>
      </w:pPr>
      <w:r>
        <w:rPr/>
        <w:t>CONTRACT PRICE; PAYMENTS TO CONTRACTOR</w:t>
      </w:r>
    </w:p>
    <w:p>
      <w:pPr>
        <w:pStyle w:val="BodyText"/>
        <w:rPr/>
      </w:pPr>
      <w:r>
        <w:rPr/>
      </w:r>
    </w:p>
    <w:p>
      <w:pPr>
        <w:pStyle w:val="Style2toc"/>
        <w:rPr/>
      </w:pPr>
      <w:r>
        <w:rPr/>
        <w:t>7.1</w:t>
        <w:tab/>
      </w:r>
      <w:r>
        <w:rPr>
          <w:u w:val="single"/>
        </w:rPr>
        <w:t>Contract Price</w:t>
      </w:r>
      <w:r>
        <w:fldChar w:fldCharType="begin"/>
      </w:r>
      <w:r>
        <w:rPr/>
        <w:instrText xml:space="preserve"> TC "7.1</w:instrText>
        <w:tab/>
        <w:instrText xml:space="preserve">Contract Price" \l 2 </w:instrText>
      </w:r>
      <w:r>
        <w:rPr/>
        <w:fldChar w:fldCharType="separate"/>
      </w:r>
      <w:r>
        <w:rPr/>
      </w:r>
      <w:r>
        <w:rPr/>
        <w:fldChar w:fldCharType="end"/>
      </w:r>
      <w:bookmarkStart w:id="57" w:name="__RefHeading___Toc482936850"/>
      <w:bookmarkEnd w:id="57"/>
      <w:r>
        <w:rPr/>
        <w:t>.</w:t>
      </w:r>
    </w:p>
    <w:p>
      <w:pPr>
        <w:pStyle w:val="BodyText"/>
        <w:rPr/>
      </w:pPr>
      <w:r>
        <w:rPr/>
      </w:r>
    </w:p>
    <w:p>
      <w:pPr>
        <w:pStyle w:val="BodyText"/>
        <w:rPr/>
      </w:pPr>
      <w:r>
        <w:rPr/>
        <w:tab/>
        <w:t>7.1.1</w:t>
        <w:tab/>
      </w:r>
      <w:r>
        <w:rPr>
          <w:u w:val="single"/>
        </w:rPr>
        <w:t>General</w:t>
      </w:r>
      <w:r>
        <w:rPr/>
        <w:t>.  Contractor agrees to perform the Work for the Contract Price.  The Contract Price is not subject to change save in accordance with the terms of this Agreement.</w:t>
      </w:r>
    </w:p>
    <w:p>
      <w:pPr>
        <w:pStyle w:val="BodyText"/>
        <w:rPr/>
      </w:pPr>
      <w:r>
        <w:rPr/>
      </w:r>
    </w:p>
    <w:p>
      <w:pPr>
        <w:pStyle w:val="Style2toc"/>
        <w:rPr/>
      </w:pPr>
      <w:r>
        <w:rPr/>
        <w:t>7.2</w:t>
        <w:tab/>
      </w:r>
      <w:r>
        <w:rPr>
          <w:u w:val="single"/>
        </w:rPr>
        <w:t>Payment of Contract Price</w:t>
      </w:r>
      <w:r>
        <w:fldChar w:fldCharType="begin"/>
      </w:r>
      <w:r>
        <w:rPr/>
        <w:instrText xml:space="preserve"> TC "7.2</w:instrText>
        <w:tab/>
        <w:instrText xml:space="preserve">Payment of Contract Price" \l 2 </w:instrText>
      </w:r>
      <w:r>
        <w:rPr/>
        <w:fldChar w:fldCharType="separate"/>
      </w:r>
      <w:r>
        <w:rPr/>
      </w:r>
      <w:r>
        <w:rPr/>
        <w:fldChar w:fldCharType="end"/>
      </w:r>
      <w:bookmarkStart w:id="58" w:name="__RefHeading___Toc482936851"/>
      <w:bookmarkEnd w:id="58"/>
      <w:r>
        <w:rPr/>
        <w:t>.</w:t>
      </w:r>
    </w:p>
    <w:p>
      <w:pPr>
        <w:pStyle w:val="BodyText"/>
        <w:rPr/>
      </w:pPr>
      <w:r>
        <w:rPr/>
      </w:r>
    </w:p>
    <w:p>
      <w:pPr>
        <w:pStyle w:val="BodyText"/>
        <w:rPr/>
      </w:pPr>
      <w:r>
        <w:rPr/>
        <w:tab/>
        <w:t>7.2.1</w:t>
        <w:tab/>
      </w:r>
      <w:r>
        <w:rPr>
          <w:u w:val="single"/>
        </w:rPr>
        <w:t>Payment Schedule</w:t>
      </w:r>
      <w:r>
        <w:rPr/>
        <w:t>.  The Contract Price shall be paid to Contractor in the currency specified in accordance with the Milestone Payment Schedule, which sets forth the portion of the Contract Price allocable to each milestone.  The Milestone Payment Schedule shall be used as the basis for the preparation of progress invoices as described in Section 7.2.2.</w:t>
      </w:r>
    </w:p>
    <w:p>
      <w:pPr>
        <w:pStyle w:val="BodyText"/>
        <w:rPr/>
      </w:pPr>
      <w:r>
        <w:rPr/>
      </w:r>
    </w:p>
    <w:p>
      <w:pPr>
        <w:pStyle w:val="BodyText"/>
        <w:rPr/>
      </w:pPr>
      <w:r>
        <w:rPr/>
        <w:tab/>
        <w:t>7.2.2</w:t>
        <w:tab/>
      </w:r>
      <w:r>
        <w:rPr>
          <w:u w:val="single"/>
        </w:rPr>
        <w:t>Monthly Invoices</w:t>
      </w:r>
      <w:r>
        <w:rPr/>
        <w:t>.  On or before the Notice to Proceed Effective Date, and thereafter on or before the tenth (10th) day of each month during the performance of the Work, Contractor shall furnish to Owner a detailed invoice for the period ending on the last day of the month preceding such month, setting forth the portion of the Contract Price allocable to the milestone actually completed by Contractor during such period or month, as the case may be, calculated in accordance with the Milestone Payment Schedule, and such supporting documentation and additional data as Owner may reasonably require to substantiate Contractor’s right to payment under this Section 7.2.</w:t>
      </w:r>
    </w:p>
    <w:p>
      <w:pPr>
        <w:pStyle w:val="BodyText"/>
        <w:rPr/>
      </w:pPr>
      <w:r>
        <w:rPr/>
      </w:r>
    </w:p>
    <w:p>
      <w:pPr>
        <w:pStyle w:val="BodyText"/>
        <w:rPr/>
      </w:pPr>
      <w:r>
        <w:rPr/>
        <w:tab/>
        <w:t>7.2.3</w:t>
        <w:tab/>
      </w:r>
      <w:r>
        <w:rPr>
          <w:u w:val="single"/>
        </w:rPr>
        <w:t>Monthly Payments</w:t>
      </w:r>
      <w:r>
        <w:rPr/>
        <w:t>.  Subject to Section 7.2.4 after Owner has issued the Notice to Proceed, Owner shall pay to Contractor within fifteen (15) days following the date Owner receives each invoice under Section 7.2.2 the full undisputed amount specified in such invoice; provided, however, that the sum total of all amounts payable by Owner under each such invoice, together with all prior and concurrent payments to Contractor made hereunder shall not exceed, as of any given payment date, the applicable cumulative monthly payment limitation set forth in the Milestone Payment Schedule.  All payments made by Owner to Contractor hereunder shall be made by wire transfer of immediately available funds to the account of Contractor designated by written notice to Owner.</w:t>
      </w:r>
    </w:p>
    <w:p>
      <w:pPr>
        <w:pStyle w:val="BodyText"/>
        <w:rPr/>
      </w:pPr>
      <w:r>
        <w:rPr/>
      </w:r>
    </w:p>
    <w:p>
      <w:pPr>
        <w:pStyle w:val="BodyText"/>
        <w:rPr/>
      </w:pPr>
      <w:r>
        <w:rPr/>
        <w:tab/>
        <w:t>7.2.4</w:t>
        <w:tab/>
      </w:r>
      <w:r>
        <w:rPr>
          <w:u w:val="single"/>
        </w:rPr>
        <w:t>Retainage</w:t>
      </w:r>
      <w:r>
        <w:rPr/>
        <w:t>.  The last ten percent (10%) of the Contract Price (the “Retainage”) shall be retained by Owner.  A Retention Bond which complies with the provisions of Section 21.1 may be substituted for the required Retainage. Within thirty (30) days of Contractor having met all requirements of Final Completion (except for completion of Punch List Items), Owner shall pay Contractor the remaining portion of the Contract Price, less any Punchlist Withholding and there shall be no further Retainage requirement or obligation to maintain a Retention Bond except to the extent of any required Punchlist Withholding.</w:t>
      </w:r>
    </w:p>
    <w:p>
      <w:pPr>
        <w:pStyle w:val="BodyText"/>
        <w:rPr/>
      </w:pPr>
      <w:r>
        <w:rPr/>
      </w:r>
    </w:p>
    <w:p>
      <w:pPr>
        <w:pStyle w:val="BodyText"/>
        <w:rPr/>
      </w:pPr>
      <w:r>
        <w:rPr/>
        <w:tab/>
        <w:t>7.2.5</w:t>
        <w:tab/>
      </w:r>
      <w:r>
        <w:rPr>
          <w:u w:val="single"/>
        </w:rPr>
        <w:t>Final Payment</w:t>
      </w:r>
      <w:r>
        <w:rPr/>
        <w:t xml:space="preserve">.  Following Provisional Acceptance, Contractor shall submit to Owner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accompanied by releases and waivers of liens, substantially in the form of Exhibit D-2, from Contractor and each of its Subcontractors that have entered into Subcontracts having an aggregate payment amount in excess of $1,000,000 and such other data as Owner or any Lender may reasonably request establishing payment of or surety for payment of all such obligations.  To the extent there is a bona fide dispute with a Subcontractor, Contractor and Owner may agree to the posting of a letter of credit issued by a commercial bank assigned a rating of at least “A” by Standard &amp; Poor’s or other similarly recognized national rating agency, or an escrow of funds to satisfy any such Subcontractor in lieu of such waiver. </w:t>
      </w:r>
    </w:p>
    <w:p>
      <w:pPr>
        <w:pStyle w:val="BodyText"/>
        <w:rPr/>
      </w:pPr>
      <w:r>
        <w:rPr/>
      </w:r>
    </w:p>
    <w:p>
      <w:pPr>
        <w:pStyle w:val="Style2toc"/>
        <w:rPr/>
      </w:pPr>
      <w:r>
        <w:rPr/>
        <w:t>7.3</w:t>
        <w:tab/>
      </w:r>
      <w:r>
        <w:rPr>
          <w:u w:val="single"/>
        </w:rPr>
        <w:t>Payments Not Waiver or Acceptance of Work</w:t>
      </w:r>
      <w:r>
        <w:fldChar w:fldCharType="begin"/>
      </w:r>
      <w:r>
        <w:rPr/>
        <w:instrText xml:space="preserve"> TC "7.3</w:instrText>
        <w:tab/>
        <w:instrText xml:space="preserve">Payments Not Waiver or Acceptance of Work" \l 2 </w:instrText>
      </w:r>
      <w:r>
        <w:rPr/>
        <w:fldChar w:fldCharType="separate"/>
      </w:r>
      <w:r>
        <w:rPr/>
      </w:r>
      <w:r>
        <w:rPr/>
        <w:fldChar w:fldCharType="end"/>
      </w:r>
      <w:bookmarkStart w:id="59" w:name="__RefHeading___Toc482936852"/>
      <w:bookmarkEnd w:id="59"/>
      <w:r>
        <w:rPr/>
        <w:t>.  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shall not be deemed or construed as an approval or acceptance of any Work or as a waiver of any claim or right Owner may have hereunder.  All payments shall be subject to correction or adjustment in subsequent progress reviews and payments.</w:t>
      </w:r>
    </w:p>
    <w:p>
      <w:pPr>
        <w:pStyle w:val="BodyText"/>
        <w:rPr/>
      </w:pPr>
      <w:r>
        <w:rPr/>
      </w:r>
    </w:p>
    <w:p>
      <w:pPr>
        <w:pStyle w:val="Style2toc"/>
        <w:rPr/>
      </w:pPr>
      <w:r>
        <w:rPr/>
        <w:t>7.4</w:t>
        <w:tab/>
      </w:r>
      <w:r>
        <w:rPr>
          <w:u w:val="single"/>
        </w:rPr>
        <w:t>Payment of Subcontractors</w:t>
      </w:r>
      <w:r>
        <w:fldChar w:fldCharType="begin"/>
      </w:r>
      <w:r>
        <w:rPr/>
        <w:instrText xml:space="preserve"> TC "7.4</w:instrText>
        <w:tab/>
        <w:instrText xml:space="preserve">Payment of Subcontractors" \l 2 </w:instrText>
      </w:r>
      <w:r>
        <w:rPr/>
        <w:fldChar w:fldCharType="separate"/>
      </w:r>
      <w:r>
        <w:rPr/>
      </w:r>
      <w:r>
        <w:rPr/>
        <w:fldChar w:fldCharType="end"/>
      </w:r>
      <w:bookmarkStart w:id="60" w:name="__RefHeading___Toc482936853"/>
      <w:bookmarkEnd w:id="60"/>
      <w:r>
        <w:rPr/>
        <w:t>.  Contractor shall promptly pay, in accordance with the terms and conditions set forth in the respective Subcontract, each Subcontractor the amount to which said Subcontractor is entitled.  Contractor shall, by an appropriate agreement with each Subcontractor, require each Subcontractor to make timely payments to its laborers, suppliers, and subcontractors in a similar manner.</w:t>
      </w:r>
    </w:p>
    <w:p>
      <w:pPr>
        <w:pStyle w:val="BodyText"/>
        <w:rPr/>
      </w:pPr>
      <w:r>
        <w:rPr/>
      </w:r>
    </w:p>
    <w:p>
      <w:pPr>
        <w:pStyle w:val="Style2toc"/>
        <w:rPr/>
      </w:pPr>
      <w:r>
        <w:rPr/>
        <w:t>7.5</w:t>
        <w:tab/>
      </w:r>
      <w:r>
        <w:rPr>
          <w:u w:val="single"/>
        </w:rPr>
        <w:t>Waiver of Liens</w:t>
      </w:r>
      <w:r>
        <w:fldChar w:fldCharType="begin"/>
      </w:r>
      <w:r>
        <w:rPr/>
        <w:instrText xml:space="preserve"> TC "7.5</w:instrText>
        <w:tab/>
        <w:instrText xml:space="preserve">Waiver of Liens" \l 2 </w:instrText>
      </w:r>
      <w:r>
        <w:rPr/>
        <w:fldChar w:fldCharType="separate"/>
      </w:r>
      <w:r>
        <w:rPr/>
      </w:r>
      <w:r>
        <w:rPr/>
        <w:fldChar w:fldCharType="end"/>
      </w:r>
      <w:bookmarkStart w:id="61" w:name="__RefHeading___Toc482936854"/>
      <w:bookmarkEnd w:id="61"/>
      <w:r>
        <w:rPr/>
        <w:t>.  As a condition precedent to the obligation of Owner to make each payment under this Agreement, Contractor shall supply Owner with a waiver and release of liens and security interests to the extent of such payment in substantially the form set forth in Exhibit D-1 or otherwise reasonably acceptable to Owner and any Lender, duly executed and acknowledged by Contractor in order to assure an effective release of mechanics’ or materialmen’s liens to the extent permitted by Law.  The waiver or release of liens shall provide, without limitation, that all amounts that were due and payable to Contractor in connection with the Work as of such date and as of the date of the last advance applicable to Contractor have been paid in full and that Contractor waives, releases, or relinquishes any lien, security interest, or claim (whether for breach of contract, pursuant to Law or otherwise) to the extent set out in the preceding sentence on account of the Work to which it may be entitled by Law or this Agreement.</w:t>
      </w:r>
    </w:p>
    <w:p>
      <w:pPr>
        <w:pStyle w:val="BodyText"/>
        <w:rPr/>
      </w:pPr>
      <w:r>
        <w:rPr/>
      </w:r>
    </w:p>
    <w:p>
      <w:pPr>
        <w:pStyle w:val="Style2toc"/>
        <w:rPr/>
      </w:pPr>
      <w:r>
        <w:rPr/>
        <w:t>7.6</w:t>
        <w:tab/>
      </w:r>
      <w:r>
        <w:rPr>
          <w:u w:val="single"/>
        </w:rPr>
        <w:t>Interest and Disputed Invoices</w:t>
      </w:r>
      <w:r>
        <w:fldChar w:fldCharType="begin"/>
      </w:r>
      <w:r>
        <w:rPr/>
        <w:instrText xml:space="preserve"> TC "7.6</w:instrText>
        <w:tab/>
        <w:instrText xml:space="preserve">Interest and Disputed Invoices" \l 2 </w:instrText>
      </w:r>
      <w:r>
        <w:rPr/>
        <w:fldChar w:fldCharType="separate"/>
      </w:r>
      <w:r>
        <w:rPr/>
      </w:r>
      <w:r>
        <w:rPr/>
        <w:fldChar w:fldCharType="end"/>
      </w:r>
      <w:bookmarkStart w:id="62" w:name="__RefHeading___Toc482936855"/>
      <w:bookmarkEnd w:id="62"/>
      <w:r>
        <w:rPr/>
        <w:t>.  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BodyText"/>
        <w:rPr/>
      </w:pPr>
      <w:r>
        <w:rPr/>
      </w:r>
    </w:p>
    <w:p>
      <w:pPr>
        <w:pStyle w:val="Style1toc"/>
        <w:keepNext w:val="true"/>
        <w:rPr/>
      </w:pPr>
      <w:r>
        <w:rPr/>
        <w:t>ARTICLE 8</w:t>
      </w:r>
      <w:r>
        <w:fldChar w:fldCharType="begin"/>
      </w:r>
      <w:r>
        <w:rPr/>
        <w:instrText xml:space="preserve"> TC "ARTICLE 8:  TITLE AND RISK OF LOSS" \l 1 </w:instrText>
      </w:r>
      <w:r>
        <w:rPr/>
        <w:fldChar w:fldCharType="separate"/>
      </w:r>
      <w:r>
        <w:rPr/>
      </w:r>
      <w:r>
        <w:rPr/>
        <w:fldChar w:fldCharType="end"/>
      </w:r>
      <w:bookmarkStart w:id="63" w:name="__RefHeading___Toc482936856"/>
      <w:bookmarkEnd w:id="63"/>
    </w:p>
    <w:p>
      <w:pPr>
        <w:pStyle w:val="Style1toc"/>
        <w:keepNext w:val="true"/>
        <w:rPr/>
      </w:pPr>
      <w:r>
        <w:rPr/>
        <w:t>TITLE AND RISK OF LOSS</w:t>
      </w:r>
    </w:p>
    <w:p>
      <w:pPr>
        <w:pStyle w:val="BodyText"/>
        <w:keepNext w:val="true"/>
        <w:rPr/>
      </w:pPr>
      <w:r>
        <w:rPr/>
      </w:r>
    </w:p>
    <w:p>
      <w:pPr>
        <w:pStyle w:val="Style2toc"/>
        <w:keepNext w:val="true"/>
        <w:rPr/>
      </w:pPr>
      <w:r>
        <w:rPr/>
        <w:t>8.1</w:t>
        <w:tab/>
      </w:r>
      <w:r>
        <w:rPr>
          <w:u w:val="single"/>
        </w:rPr>
        <w:t>Title</w:t>
      </w:r>
      <w:r>
        <w:fldChar w:fldCharType="begin"/>
      </w:r>
      <w:r>
        <w:rPr/>
        <w:instrText xml:space="preserve"> TC "8.1</w:instrText>
        <w:tab/>
        <w:instrText xml:space="preserve">Title" \l 2 </w:instrText>
      </w:r>
      <w:r>
        <w:rPr/>
        <w:fldChar w:fldCharType="separate"/>
      </w:r>
      <w:r>
        <w:rPr/>
      </w:r>
      <w:r>
        <w:rPr/>
        <w:fldChar w:fldCharType="end"/>
      </w:r>
      <w:bookmarkStart w:id="64" w:name="__RefHeading___Toc482936857"/>
      <w:bookmarkEnd w:id="64"/>
      <w:r>
        <w:rPr/>
        <w:t>.</w:t>
      </w:r>
    </w:p>
    <w:p>
      <w:pPr>
        <w:pStyle w:val="BodyText"/>
        <w:rPr/>
      </w:pPr>
      <w:r>
        <w:rPr/>
      </w:r>
    </w:p>
    <w:p>
      <w:pPr>
        <w:pStyle w:val="BodyText"/>
        <w:rPr/>
      </w:pPr>
      <w:r>
        <w:rPr/>
        <w:tab/>
        <w:t>8.1.1</w:t>
        <w:tab/>
      </w:r>
      <w:r>
        <w:rPr>
          <w:u w:val="single"/>
        </w:rPr>
        <w:t>Warranty of Title</w:t>
      </w:r>
      <w:r>
        <w:rPr/>
        <w:t>.  Except as provided in Section 3.17, Contractor warrants good title to all Work and Equipment and warrants and guaranties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BodyText"/>
        <w:rPr/>
      </w:pPr>
      <w:r>
        <w:rPr/>
      </w:r>
    </w:p>
    <w:p>
      <w:pPr>
        <w:pStyle w:val="BodyText"/>
        <w:keepNext w:val="true"/>
        <w:rPr/>
      </w:pPr>
      <w:r>
        <w:rPr/>
        <w:tab/>
        <w:t>8.1.2</w:t>
        <w:tab/>
      </w:r>
      <w:r>
        <w:rPr>
          <w:u w:val="single"/>
        </w:rPr>
        <w:t>Title to Work</w:t>
      </w:r>
      <w:r>
        <w:rPr/>
        <w:t>.</w:t>
      </w:r>
    </w:p>
    <w:p>
      <w:pPr>
        <w:pStyle w:val="BodyText"/>
        <w:keepNext w:val="true"/>
        <w:rPr/>
      </w:pPr>
      <w:r>
        <w:rPr/>
      </w:r>
    </w:p>
    <w:p>
      <w:pPr>
        <w:pStyle w:val="BodyTextIndent3"/>
        <w:rPr/>
      </w:pPr>
      <w:r>
        <w:rPr/>
        <w:t>8.1.2.1</w:t>
        <w:tab/>
        <w:t>Title to all Work and Equipment performed and sourced in Mexico will pass to Owner upon Provisional Acceptance.</w:t>
      </w:r>
    </w:p>
    <w:p>
      <w:pPr>
        <w:pStyle w:val="BodyText"/>
        <w:rPr/>
      </w:pPr>
      <w:r>
        <w:rPr/>
      </w:r>
    </w:p>
    <w:p>
      <w:pPr>
        <w:pStyle w:val="BodyTextIndent3"/>
        <w:rPr/>
      </w:pPr>
      <w:r>
        <w:rPr/>
        <w:t>8.1.2.2</w:t>
        <w:tab/>
        <w:t xml:space="preserve">Title to all Work and Equipment performed and sourced offshore will pass to Owner prior to such Work or Equipment entering Mexico, or as otherwise required in accordance with the project import plan. </w:t>
      </w:r>
    </w:p>
    <w:p>
      <w:pPr>
        <w:pStyle w:val="BodyText"/>
        <w:rPr/>
      </w:pPr>
      <w:r>
        <w:rPr/>
      </w:r>
    </w:p>
    <w:p>
      <w:pPr>
        <w:pStyle w:val="BodyText"/>
        <w:ind w:firstLine="720" w:end="0"/>
        <w:rPr/>
      </w:pPr>
      <w:r>
        <w:rPr/>
        <w:t>8.1.3</w:t>
        <w:tab/>
      </w:r>
      <w:r>
        <w:rPr>
          <w:u w:val="single"/>
        </w:rPr>
        <w:t>Title to Drawings</w:t>
      </w:r>
      <w:r>
        <w:rPr/>
        <w:t xml:space="preserve">.  Title to drawings, designs, plans, specifications, and like materials specifically prepared as part of the Work will remain with Contractor.  Contractor grants to Owner an irrevocable, non-exclusive, royalty-free, and fully assignable (without need of Contractor Consent) right to use and reproduce Contractor and Subcontractor drawings, designs, plans, specifications, like materials specifically prepared as part of the Work, and other design documentation necessary or useful for the purposes of constructing, operating, maintaining, rebuilding, or modifying the Facility (the “Specification Rights”).  Owner shall have the right to assign such Specifications Rights in any manner desired including any assignment to any Lender in connection with granting a security interest in the Facility and an assignment to any purchaser of the Facility or to any subsequent assignee of same.  Owner may retain the necessary number of copies of all such documents for the purposes allowed by the Specifications Rights. </w:t>
      </w:r>
    </w:p>
    <w:p>
      <w:pPr>
        <w:pStyle w:val="BodyText"/>
        <w:rPr/>
      </w:pPr>
      <w:r>
        <w:rPr/>
      </w:r>
    </w:p>
    <w:p>
      <w:pPr>
        <w:pStyle w:val="BodyText"/>
        <w:ind w:firstLine="720" w:end="0"/>
        <w:rPr/>
      </w:pPr>
      <w:r>
        <w:rPr/>
        <w:t>8.1.4</w:t>
        <w:tab/>
      </w:r>
      <w:r>
        <w:rPr>
          <w:u w:val="single"/>
        </w:rPr>
        <w:t>Control of Software and Other Proprietary Material</w:t>
      </w:r>
      <w:r>
        <w:rPr/>
        <w:t>.  Owner recognizes that some of the software and other intellectual property provided by Contractor to Owner as part of the Scope of Work carries with it certain restrictions on use and copying of such software and other intellectual property because it was supplied to Contractor by Subcontractors subject to certain license agreements and Owner agrees not to violate such sublicenses, provided that Contractor guaranties that Owner shall have the right to assign the benefit of such software and other intellectual property and the license granted below to Lender in connection with granting a security interest in the Facility, to a purchaser of the Facility (or any part thereof), or to any subsequent assignee of the same.  Contractor shall provide Owner with a copy of the applicable sublicenses which shall be the only restriction on Owner’s use of the software and other intellectual property rights provided to Owner as part of the Work.  Notwithstanding any other limitations set forth in this Agreement, Contractor represents and warrants that it has all rights and licenses necessary for it to provide such software and other intellectual property to Owner as contemplated in this Agreement and grants to Owner a perpetual, irrevocable, non-exclusive, and royalty-free license to use and reproduce such software and other intellectual property in connection with the construction and operation of the Facility.  Such license shall allow Owner the limited right to use and reproduce the software and other intellectual property as contained herein and such license shall be fully assignable without the consent of Contractor or any other Person.  Owner agrees to indemnify, defend, and hold harmless Contractor against any third party claims made against Contractor resulting from unauthorized duplication, use, printing, display, modification, or disclosure of such software and other intellectual property by Owner which violate the sublicenses provided to Owner by Contractor.</w:t>
      </w:r>
    </w:p>
    <w:p>
      <w:pPr>
        <w:pStyle w:val="BodyText"/>
        <w:rPr/>
      </w:pPr>
      <w:r>
        <w:rPr/>
      </w:r>
    </w:p>
    <w:p>
      <w:pPr>
        <w:pStyle w:val="Style2toc"/>
        <w:rPr/>
      </w:pPr>
      <w:r>
        <w:rPr/>
        <w:t>8.2</w:t>
        <w:tab/>
      </w:r>
      <w:r>
        <w:rPr>
          <w:u w:val="single"/>
        </w:rPr>
        <w:t>Risk of Loss</w:t>
      </w:r>
      <w:r>
        <w:fldChar w:fldCharType="begin"/>
      </w:r>
      <w:r>
        <w:rPr/>
        <w:instrText xml:space="preserve"> TC "8.2</w:instrText>
        <w:tab/>
        <w:instrText xml:space="preserve">Risk of Loss" \l 2 </w:instrText>
      </w:r>
      <w:r>
        <w:rPr/>
        <w:fldChar w:fldCharType="separate"/>
      </w:r>
      <w:r>
        <w:rPr/>
      </w:r>
      <w:r>
        <w:rPr/>
        <w:fldChar w:fldCharType="end"/>
      </w:r>
      <w:bookmarkStart w:id="65" w:name="__RefHeading___Toc482936858"/>
      <w:bookmarkEnd w:id="65"/>
      <w:r>
        <w:rPr/>
        <w:t>.</w:t>
      </w:r>
    </w:p>
    <w:p>
      <w:pPr>
        <w:pStyle w:val="BodyText"/>
        <w:rPr/>
      </w:pPr>
      <w:r>
        <w:rPr/>
      </w:r>
    </w:p>
    <w:p>
      <w:pPr>
        <w:pStyle w:val="BodyText"/>
        <w:rPr/>
      </w:pPr>
      <w:r>
        <w:rPr/>
        <w:tab/>
        <w:t>8.2.1</w:t>
        <w:tab/>
      </w:r>
      <w:r>
        <w:rPr>
          <w:u w:val="single"/>
        </w:rPr>
        <w:t>Prior to Provisional Acceptance</w:t>
      </w:r>
      <w:r>
        <w:rPr/>
        <w:t>.  Notwithstanding passage of title as provided in Section 8.1, Contractor shall bear the risk of loss of and damage to, and shall be obligated to repair, replace, or reconstruct, all or any portion of the Work which is lost, damaged, or destroyed prior to Provisional Acceptance.</w:t>
      </w:r>
    </w:p>
    <w:p>
      <w:pPr>
        <w:pStyle w:val="BodyText"/>
        <w:rPr/>
      </w:pPr>
      <w:r>
        <w:rPr/>
      </w:r>
    </w:p>
    <w:p>
      <w:pPr>
        <w:pStyle w:val="BodyText"/>
        <w:rPr/>
      </w:pPr>
      <w:r>
        <w:rPr/>
        <w:tab/>
        <w:t>8.2.2</w:t>
        <w:tab/>
      </w:r>
      <w:r>
        <w:rPr>
          <w:u w:val="single"/>
        </w:rPr>
        <w:t>After Provisional Acceptance</w:t>
      </w:r>
      <w:r>
        <w:rPr/>
        <w:t>.  After Provisional Acceptance, to the extent Contractor shall continue to perform Work on Punchlist Items, on warranty claims or to conduct the Availability Test,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w:t>
      </w:r>
    </w:p>
    <w:p>
      <w:pPr>
        <w:pStyle w:val="BodyText"/>
        <w:rPr/>
      </w:pPr>
      <w:r>
        <w:rPr/>
      </w:r>
    </w:p>
    <w:p>
      <w:pPr>
        <w:pStyle w:val="BodyText"/>
        <w:rPr/>
      </w:pPr>
      <w:r>
        <w:rPr/>
        <w:tab/>
        <w:t>Notwithstanding Sections 8.2.1 and 8.2.2, Contractor shall not be obligated to repair, replace or reconstruct the whole or any part of the Facility which is lost, damaged or destroyed by an event which is covered by insurance obtained by Owner pursuant to Article 9 (excluding, for the avoidance of doubt, any Delay in Start-Up insurance obtained by Owner) to the extent that the insurer pays for such repair and replacement.</w:t>
      </w:r>
    </w:p>
    <w:p>
      <w:pPr>
        <w:pStyle w:val="BodyText"/>
        <w:rPr/>
      </w:pPr>
      <w:r>
        <w:rPr/>
      </w:r>
    </w:p>
    <w:p>
      <w:pPr>
        <w:pStyle w:val="Style2toc"/>
        <w:rPr/>
      </w:pPr>
      <w:r>
        <w:rPr/>
        <w:t>8.3</w:t>
        <w:tab/>
      </w:r>
      <w:r>
        <w:rPr>
          <w:u w:val="single"/>
        </w:rPr>
        <w:t>Use by Owner</w:t>
      </w:r>
      <w:r>
        <w:fldChar w:fldCharType="begin"/>
      </w:r>
      <w:r>
        <w:rPr/>
        <w:instrText xml:space="preserve"> TC "8.3</w:instrText>
        <w:tab/>
        <w:instrText xml:space="preserve">Use by Owner" \l 2 </w:instrText>
      </w:r>
      <w:r>
        <w:rPr/>
        <w:fldChar w:fldCharType="separate"/>
      </w:r>
      <w:r>
        <w:rPr/>
      </w:r>
      <w:r>
        <w:rPr/>
        <w:fldChar w:fldCharType="end"/>
      </w:r>
      <w:bookmarkStart w:id="66" w:name="__RefHeading___Toc482936859"/>
      <w:bookmarkEnd w:id="66"/>
      <w:r>
        <w:rPr/>
        <w:t>. Owner may, with Contractor’s written consent, occupy or use any complete or partially completed portion of the Work at any stage, provided such occupancy or use is approved by the builders all risk and property insurer (unless the risk management departments of both Owner and Contractor confirm that such approval is not necessary) and provided such occupancy or use is in compliance with Law and is for the purpose that such portion of the Work was intended.</w:t>
      </w:r>
    </w:p>
    <w:p>
      <w:pPr>
        <w:pStyle w:val="BodyText"/>
        <w:rPr/>
      </w:pPr>
      <w:r>
        <w:rPr/>
      </w:r>
    </w:p>
    <w:p>
      <w:pPr>
        <w:pStyle w:val="Style1toc"/>
        <w:rPr/>
      </w:pPr>
      <w:r>
        <w:rPr/>
        <w:t>ARTICLE 9</w:t>
      </w:r>
      <w:r>
        <w:fldChar w:fldCharType="begin"/>
      </w:r>
      <w:r>
        <w:rPr/>
        <w:instrText xml:space="preserve"> TC "ARTICLE 9:  INSURANCE" \l 1 </w:instrText>
      </w:r>
      <w:r>
        <w:rPr/>
        <w:fldChar w:fldCharType="separate"/>
      </w:r>
      <w:r>
        <w:rPr/>
      </w:r>
      <w:r>
        <w:rPr/>
        <w:fldChar w:fldCharType="end"/>
      </w:r>
      <w:bookmarkStart w:id="67" w:name="__RefHeading___Toc482936860"/>
      <w:bookmarkEnd w:id="67"/>
    </w:p>
    <w:p>
      <w:pPr>
        <w:pStyle w:val="Style1toc"/>
        <w:rPr/>
      </w:pPr>
      <w:r>
        <w:rPr/>
        <w:t>INSURANCE</w:t>
      </w:r>
    </w:p>
    <w:p>
      <w:pPr>
        <w:pStyle w:val="BodyText"/>
        <w:rPr/>
      </w:pPr>
      <w:r>
        <w:rPr/>
      </w:r>
    </w:p>
    <w:p>
      <w:pPr>
        <w:pStyle w:val="Style2toc"/>
        <w:rPr/>
      </w:pPr>
      <w:r>
        <w:rPr/>
        <w:t>9.1</w:t>
        <w:tab/>
      </w:r>
      <w:r>
        <w:rPr>
          <w:u w:val="single"/>
        </w:rPr>
        <w:t>Contractor’s Insurance</w:t>
      </w:r>
      <w:r>
        <w:fldChar w:fldCharType="begin"/>
      </w:r>
      <w:r>
        <w:rPr/>
        <w:instrText xml:space="preserve"> TC "9.1</w:instrText>
        <w:tab/>
        <w:instrText xml:space="preserve">Contractor’s Insurance" \l 2 </w:instrText>
      </w:r>
      <w:r>
        <w:rPr/>
        <w:fldChar w:fldCharType="separate"/>
      </w:r>
      <w:r>
        <w:rPr/>
      </w:r>
      <w:r>
        <w:rPr/>
        <w:fldChar w:fldCharType="end"/>
      </w:r>
      <w:bookmarkStart w:id="68" w:name="__RefHeading___Toc482936861"/>
      <w:bookmarkEnd w:id="68"/>
      <w:r>
        <w:rPr/>
        <w:t>.</w:t>
      </w:r>
    </w:p>
    <w:p>
      <w:pPr>
        <w:pStyle w:val="BodyText"/>
        <w:rPr/>
      </w:pPr>
      <w:r>
        <w:rPr/>
      </w:r>
    </w:p>
    <w:p>
      <w:pPr>
        <w:pStyle w:val="BodyText"/>
        <w:rPr/>
      </w:pPr>
      <w:r>
        <w:rPr/>
        <w:tab/>
        <w:t>9.1.1</w:t>
        <w:tab/>
      </w:r>
      <w:r>
        <w:rPr>
          <w:u w:val="single"/>
        </w:rPr>
        <w:t>Required Coverages</w:t>
      </w:r>
      <w:r>
        <w:rPr/>
        <w:t>.  Prior to the start of the Work and thereafter until the end of the Warranty Period, Contractor will obtain and maintain at its expense the insurance described on Exhibit H-1 with an insurance company or companies licensed to do business as required by applicable law and rated “A(-)” or better by Best’s Insurance Guide and Key Ratings or with other security previously approved in writing by Owner.</w:t>
      </w:r>
    </w:p>
    <w:p>
      <w:pPr>
        <w:pStyle w:val="BodyText"/>
        <w:rPr/>
      </w:pPr>
      <w:r>
        <w:rPr/>
      </w:r>
    </w:p>
    <w:p>
      <w:pPr>
        <w:pStyle w:val="BodyText"/>
        <w:rPr/>
      </w:pPr>
      <w:r>
        <w:rPr/>
        <w:tab/>
        <w:t>9.1.2</w:t>
        <w:tab/>
      </w:r>
      <w:r>
        <w:rPr>
          <w:u w:val="single"/>
        </w:rPr>
        <w:t>Requirements of Contractor’s Insurance</w:t>
      </w:r>
      <w:r>
        <w:rPr/>
        <w:t>.  The insurance provided by Contractor pursuant to this Section 9.1 shall be primary unless stated otherwise in Exhibits H-1 and/or H-2 as respects Owner, Offtakers, any Lender and their respective directors, officers, Representatives, agents, and employees, and any other insurance obtained and maintained by Owner or any Lender shall be excess of and shall not contribute with such insurance except as specifically stated herein.  In addition, all such insurance shall include those provisions set forth on Exhibit H-1.</w:t>
      </w:r>
    </w:p>
    <w:p>
      <w:pPr>
        <w:pStyle w:val="BodyText"/>
        <w:rPr/>
      </w:pPr>
      <w:r>
        <w:rPr/>
      </w:r>
    </w:p>
    <w:p>
      <w:pPr>
        <w:pStyle w:val="BodyText"/>
        <w:rPr/>
      </w:pPr>
      <w:r>
        <w:rPr/>
        <w:tab/>
        <w:t>9.1.3</w:t>
        <w:tab/>
      </w:r>
      <w:r>
        <w:rPr>
          <w:u w:val="single"/>
        </w:rPr>
        <w:t>Payment of Deductibles</w:t>
      </w:r>
      <w:r>
        <w:rPr/>
        <w:t>.  The insurance provided by Contractor pursuant to this Section 9.1 shall have reasonable deductibles and Contractor shall be solely responsible for the payment of all such deductible amounts, unless the loss or damage is caused in whole or in part by the fault or negligence of Owner, in which case the deductible shall be shared or apportioned as between Contractor and Owner in proportion to the degree of fault of each.</w:t>
      </w:r>
    </w:p>
    <w:p>
      <w:pPr>
        <w:pStyle w:val="BodyText"/>
        <w:rPr/>
      </w:pPr>
      <w:r>
        <w:rPr/>
      </w:r>
    </w:p>
    <w:p>
      <w:pPr>
        <w:pStyle w:val="Style2toc"/>
        <w:rPr/>
      </w:pPr>
      <w:r>
        <w:rPr/>
        <w:t>9.2</w:t>
        <w:tab/>
      </w:r>
      <w:r>
        <w:rPr>
          <w:u w:val="single"/>
        </w:rPr>
        <w:t>Owner’s Insurance</w:t>
      </w:r>
      <w:r>
        <w:fldChar w:fldCharType="begin"/>
      </w:r>
      <w:r>
        <w:rPr/>
        <w:instrText xml:space="preserve"> TC "9.2</w:instrText>
        <w:tab/>
        <w:instrText xml:space="preserve">Owner’s Insurance" \l 2 </w:instrText>
      </w:r>
      <w:r>
        <w:rPr/>
        <w:fldChar w:fldCharType="separate"/>
      </w:r>
      <w:r>
        <w:rPr/>
      </w:r>
      <w:r>
        <w:rPr/>
        <w:fldChar w:fldCharType="end"/>
      </w:r>
      <w:bookmarkStart w:id="69" w:name="__RefHeading___Toc482936862"/>
      <w:bookmarkEnd w:id="69"/>
      <w:r>
        <w:rPr/>
        <w:t>.</w:t>
      </w:r>
    </w:p>
    <w:p>
      <w:pPr>
        <w:pStyle w:val="BodyText"/>
        <w:rPr/>
      </w:pPr>
      <w:r>
        <w:rPr/>
      </w:r>
    </w:p>
    <w:p>
      <w:pPr>
        <w:pStyle w:val="BodyText"/>
        <w:rPr/>
      </w:pPr>
      <w:r>
        <w:rPr/>
        <w:tab/>
        <w:t>9.2.1</w:t>
        <w:tab/>
      </w:r>
      <w:r>
        <w:rPr>
          <w:u w:val="single"/>
        </w:rPr>
        <w:t>Required Coverage</w:t>
      </w:r>
      <w:r>
        <w:rPr/>
        <w:t>.  Prior to the start of the Work and thereafter until the end of the Warranty Period, Owner shall obtain and maintain the insurance described in Exhibit H-2 with (a) an insurance company or companies licensed to do business as required by applicable law and rated “A(-)”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BodyText"/>
        <w:rPr/>
      </w:pPr>
      <w:r>
        <w:rPr/>
      </w:r>
    </w:p>
    <w:p>
      <w:pPr>
        <w:pStyle w:val="BodyText"/>
        <w:rPr/>
      </w:pPr>
      <w:r>
        <w:rPr/>
        <w:tab/>
        <w:t>9.2.2</w:t>
        <w:tab/>
      </w:r>
      <w:r>
        <w:rPr>
          <w:u w:val="single"/>
        </w:rPr>
        <w:t>Requirements of Owner’s Insurance</w:t>
      </w:r>
      <w:r>
        <w:rPr/>
        <w:t>.  The insurance provided by Owner pursuant to Section 9.2 shall be primary, unless stated otherwise in Exhibit H-2,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include those provisions set forth in Exhibit H-2.</w:t>
      </w:r>
    </w:p>
    <w:p>
      <w:pPr>
        <w:pStyle w:val="BodyText"/>
        <w:rPr/>
      </w:pPr>
      <w:r>
        <w:rPr/>
      </w:r>
    </w:p>
    <w:p>
      <w:pPr>
        <w:pStyle w:val="BodyText"/>
        <w:rPr/>
      </w:pPr>
      <w:r>
        <w:rPr/>
        <w:tab/>
        <w:t>9.2.3</w:t>
        <w:tab/>
      </w:r>
      <w:r>
        <w:rPr>
          <w:u w:val="single"/>
        </w:rPr>
        <w:t>Payment of Deductibles</w:t>
      </w:r>
      <w:r>
        <w:rPr/>
        <w:t>.  The insurance provided by Owner pursuant to Section 9.2 shall have the deductibles provided in Exhibit H-2, and Contractor shall be solely responsible for the payment of all such deductible amounts, unless the loss or damage is caused in whole or in part by the fault or negligence of Owner, in which case the deductible shall be shared or apportioned as between Contractor and Owner in proportion to the degree of fault of each.</w:t>
      </w:r>
    </w:p>
    <w:p>
      <w:pPr>
        <w:pStyle w:val="BodyText"/>
        <w:rPr/>
      </w:pPr>
      <w:r>
        <w:rPr/>
      </w:r>
    </w:p>
    <w:p>
      <w:pPr>
        <w:pStyle w:val="Style2toc"/>
        <w:rPr/>
      </w:pPr>
      <w:r>
        <w:rPr/>
        <w:t>9.3</w:t>
        <w:tab/>
      </w:r>
      <w:r>
        <w:rPr>
          <w:u w:val="single"/>
        </w:rPr>
        <w:t>Certificates and Cancellations</w:t>
      </w:r>
      <w:r>
        <w:fldChar w:fldCharType="begin"/>
      </w:r>
      <w:r>
        <w:rPr/>
        <w:instrText xml:space="preserve"> TC "9.3</w:instrText>
        <w:tab/>
        <w:instrText xml:space="preserve">Certificates and Cancellations" \l 2 </w:instrText>
      </w:r>
      <w:r>
        <w:rPr/>
        <w:fldChar w:fldCharType="separate"/>
      </w:r>
      <w:r>
        <w:rPr/>
      </w:r>
      <w:r>
        <w:rPr/>
        <w:fldChar w:fldCharType="end"/>
      </w:r>
      <w:bookmarkStart w:id="70" w:name="__RefHeading___Toc482936863"/>
      <w:bookmarkEnd w:id="70"/>
      <w:r>
        <w:rPr/>
        <w:t>.</w:t>
      </w:r>
    </w:p>
    <w:p>
      <w:pPr>
        <w:pStyle w:val="BodyText"/>
        <w:rPr/>
      </w:pPr>
      <w:r>
        <w:rPr/>
      </w:r>
    </w:p>
    <w:p>
      <w:pPr>
        <w:pStyle w:val="BodyText"/>
        <w:rPr/>
      </w:pPr>
      <w:r>
        <w:rPr/>
        <w:tab/>
        <w:t>9.3.1</w:t>
        <w:tab/>
      </w:r>
      <w:r>
        <w:rPr>
          <w:u w:val="single"/>
        </w:rPr>
        <w:t>Contractor Certificates</w:t>
      </w:r>
      <w:r>
        <w:rPr/>
        <w:t>.  Contractor shall, on or prior to commencement of activities on the Site, deliver to Owner certificates of insurance evidencing compliance with the requirements of Section 9.1.</w:t>
      </w:r>
    </w:p>
    <w:p>
      <w:pPr>
        <w:pStyle w:val="BodyText"/>
        <w:rPr/>
      </w:pPr>
      <w:r>
        <w:rPr/>
      </w:r>
    </w:p>
    <w:p>
      <w:pPr>
        <w:pStyle w:val="BodyText"/>
        <w:rPr/>
      </w:pPr>
      <w:r>
        <w:rPr/>
        <w:tab/>
        <w:t>9.3.2</w:t>
        <w:tab/>
      </w:r>
      <w:r>
        <w:rPr>
          <w:u w:val="single"/>
        </w:rPr>
        <w:t>Owner Certificates</w:t>
      </w:r>
      <w:r>
        <w:rPr/>
        <w:t>.  Owner shall, consistent with the timing set out in Section 9.2, deliver to Contractor certificates of insurance evidencing compliance with the requirements of Section 9.2.</w:t>
      </w:r>
    </w:p>
    <w:p>
      <w:pPr>
        <w:pStyle w:val="BodyText"/>
        <w:rPr/>
      </w:pPr>
      <w:r>
        <w:rPr/>
      </w:r>
    </w:p>
    <w:p>
      <w:pPr>
        <w:pStyle w:val="BodyText"/>
        <w:rPr/>
      </w:pPr>
      <w:r>
        <w:rPr/>
        <w:tab/>
        <w:t>9.3.3</w:t>
        <w:tab/>
      </w:r>
      <w:r>
        <w:rPr>
          <w:u w:val="single"/>
        </w:rPr>
        <w:t>Notice of Cancellation</w:t>
      </w:r>
      <w:r>
        <w:rPr/>
        <w:t>.</w:t>
      </w:r>
    </w:p>
    <w:p>
      <w:pPr>
        <w:pStyle w:val="BodyText"/>
        <w:rPr/>
      </w:pPr>
      <w:r>
        <w:rPr/>
      </w:r>
    </w:p>
    <w:p>
      <w:pPr>
        <w:pStyle w:val="BodyTextIndent3"/>
        <w:rPr/>
      </w:pPr>
      <w:r>
        <w:rPr/>
        <w:t>9.3.3.1</w:t>
        <w:tab/>
        <w:t>All policies of insurance to be secured and maintained hereunder shall provide, by endorsement, that the other party and any additional insured, where required in writing, shall be provided forty-five (45) days prior written notice of any material policy changes or cancellations, and that no such cancellation or change shall be effective without such notice.</w:t>
      </w:r>
    </w:p>
    <w:p>
      <w:pPr>
        <w:pStyle w:val="BodyText"/>
        <w:rPr/>
      </w:pPr>
      <w:r>
        <w:rPr/>
      </w:r>
    </w:p>
    <w:p>
      <w:pPr>
        <w:pStyle w:val="BodyTextIndent3"/>
        <w:rPr/>
      </w:pPr>
      <w:r>
        <w:rPr/>
        <w:t>9.3.3.2</w:t>
        <w:tab/>
        <w:t>Contractor shall immediately notify Owner regarding the occurrence of any of the following events: (a) any significant loss covered by a policy required to be maintained by this Article 9; (b) any significant dispute with an insurer; (c) the early cancellation of any policy; (d) the failure to pay any premium payment; (e) the failure, for any reason, to maintain any policy required to be maintained by this Article 9; and (f) any significant change in any insurance coverage contracted for by Contractor.</w:t>
      </w:r>
    </w:p>
    <w:p>
      <w:pPr>
        <w:pStyle w:val="BodyText"/>
        <w:rPr/>
      </w:pPr>
      <w:r>
        <w:rPr/>
      </w:r>
    </w:p>
    <w:p>
      <w:pPr>
        <w:pStyle w:val="Style2toc"/>
        <w:rPr/>
      </w:pPr>
      <w:r>
        <w:rPr/>
        <w:t>9.4</w:t>
        <w:tab/>
      </w:r>
      <w:r>
        <w:rPr>
          <w:u w:val="single"/>
        </w:rPr>
        <w:t>Failure to Pay</w:t>
      </w:r>
      <w:r>
        <w:fldChar w:fldCharType="begin"/>
      </w:r>
      <w:r>
        <w:rPr/>
        <w:instrText xml:space="preserve"> TC "9.4</w:instrText>
        <w:tab/>
        <w:instrText xml:space="preserve">Failure to Pay" \l 2 </w:instrText>
      </w:r>
      <w:r>
        <w:rPr/>
        <w:fldChar w:fldCharType="separate"/>
      </w:r>
      <w:r>
        <w:rPr/>
      </w:r>
      <w:r>
        <w:rPr/>
        <w:fldChar w:fldCharType="end"/>
      </w:r>
      <w:bookmarkStart w:id="71" w:name="__RefHeading___Toc482936864"/>
      <w:bookmarkEnd w:id="71"/>
      <w:r>
        <w:rPr/>
        <w:t>. Irrespective of the requirements for insurance to be secured and maintained hereunder, the insolvency, bankruptcy, or failure of any insurance company carrying insurance of any Party, the failure of any insurance company to pay claims accruing, shall not affect, negate or waive any of the provisions of this Agreement, including, without exception, the indemnity obligations of any Party.</w:t>
      </w:r>
    </w:p>
    <w:p>
      <w:pPr>
        <w:pStyle w:val="BodyText"/>
        <w:rPr/>
      </w:pPr>
      <w:r>
        <w:rPr/>
      </w:r>
    </w:p>
    <w:p>
      <w:pPr>
        <w:pStyle w:val="Style2toc"/>
        <w:rPr/>
      </w:pPr>
      <w:r>
        <w:rPr/>
        <w:t>9.5</w:t>
        <w:tab/>
      </w:r>
      <w:r>
        <w:rPr>
          <w:u w:val="single"/>
        </w:rPr>
        <w:t>Miscellaneous</w:t>
      </w:r>
      <w:r>
        <w:fldChar w:fldCharType="begin"/>
      </w:r>
      <w:r>
        <w:rPr/>
        <w:instrText xml:space="preserve"> TC "9.5</w:instrText>
        <w:tab/>
        <w:instrText xml:space="preserve">Miscellaneous" \l 2 </w:instrText>
      </w:r>
      <w:r>
        <w:rPr/>
        <w:fldChar w:fldCharType="separate"/>
      </w:r>
      <w:r>
        <w:rPr/>
      </w:r>
      <w:r>
        <w:rPr/>
        <w:fldChar w:fldCharType="end"/>
      </w:r>
      <w:bookmarkStart w:id="72" w:name="__RefHeading___Toc482936865"/>
      <w:bookmarkEnd w:id="72"/>
      <w:r>
        <w:rPr/>
        <w:t>.</w:t>
      </w:r>
    </w:p>
    <w:p>
      <w:pPr>
        <w:pStyle w:val="BodyText"/>
        <w:rPr/>
      </w:pPr>
      <w:r>
        <w:rPr/>
      </w:r>
    </w:p>
    <w:p>
      <w:pPr>
        <w:pStyle w:val="BodyText"/>
        <w:rPr/>
      </w:pPr>
      <w:r>
        <w:rPr/>
        <w:tab/>
        <w:t>9.5.1</w:t>
        <w:tab/>
      </w:r>
      <w:r>
        <w:rPr>
          <w:u w:val="single"/>
        </w:rPr>
        <w:t>Non-waiver</w:t>
      </w:r>
      <w:r>
        <w:rPr/>
        <w:t>.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BodyText"/>
        <w:rPr/>
      </w:pPr>
      <w:r>
        <w:rPr/>
      </w:r>
    </w:p>
    <w:p>
      <w:pPr>
        <w:pStyle w:val="BodyText"/>
        <w:rPr/>
      </w:pPr>
      <w:r>
        <w:rPr/>
        <w:tab/>
        <w:t>9.5.2</w:t>
        <w:tab/>
      </w: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BodyText"/>
        <w:rPr/>
      </w:pPr>
      <w:r>
        <w:rPr/>
      </w:r>
    </w:p>
    <w:p>
      <w:pPr>
        <w:pStyle w:val="BodyText"/>
        <w:rPr/>
      </w:pPr>
      <w:r>
        <w:rPr/>
        <w:tab/>
        <w:t>9.5.3</w:t>
        <w:tab/>
      </w:r>
      <w:r>
        <w:rPr>
          <w:u w:val="single"/>
        </w:rPr>
        <w:t>Subcontractor Insurance</w:t>
      </w:r>
      <w:r>
        <w:rPr/>
        <w:t>.  Before permitting any Subcontractor to perform any Work, Contractor shall obtain a certificate of insurance from each such Subcontractor evidencing that such Subcontractor has obtained, from insurance carriers licensed to do business as required by applicable law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BodyText"/>
        <w:rPr/>
      </w:pPr>
      <w:r>
        <w:rPr/>
      </w:r>
    </w:p>
    <w:p>
      <w:pPr>
        <w:pStyle w:val="BodyText"/>
        <w:rPr/>
      </w:pPr>
      <w:r>
        <w:rPr/>
        <w:tab/>
        <w:t>9.5.4</w:t>
        <w:tab/>
      </w:r>
      <w:r>
        <w:rPr>
          <w:u w:val="single"/>
        </w:rPr>
        <w:t>Compliance with Insurance</w:t>
      </w:r>
      <w:r>
        <w:rPr/>
        <w:t>.  Contractor and its directors, officers, representatives, agents, and employees shall comply with all the terms of the policies of insurance referred to in Section 9 and in any “Delay in Start-Up” and “Business Interruption” insurance obtained by Owner.  Contractor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liability thereunder.  Contractor shall ensure that all Subcontracts who have Subcontracts for aggregate payments in excess of $1,000,000 shall include provisions in such contracts with the same terms as this Section 9.5.</w:t>
      </w:r>
    </w:p>
    <w:p>
      <w:pPr>
        <w:pStyle w:val="BodyText"/>
        <w:rPr/>
      </w:pPr>
      <w:r>
        <w:rPr/>
      </w:r>
    </w:p>
    <w:p>
      <w:pPr>
        <w:pStyle w:val="BodyTextIndent"/>
        <w:rPr/>
      </w:pPr>
      <w:r>
        <w:rPr/>
        <w:t>9.5.5</w:t>
        <w:tab/>
      </w:r>
      <w:r>
        <w:rPr>
          <w:u w:val="single"/>
        </w:rPr>
        <w:t>Insurance Surveyor</w:t>
      </w:r>
      <w:r>
        <w:rPr/>
        <w:t>.</w:t>
        <w:tab/>
        <w:t>The costs of the insurance surveyor shall be paid by Owner.</w:t>
      </w:r>
    </w:p>
    <w:p>
      <w:pPr>
        <w:pStyle w:val="BodyTextIndent"/>
        <w:rPr/>
      </w:pPr>
      <w:r>
        <w:rPr/>
      </w:r>
    </w:p>
    <w:p>
      <w:pPr>
        <w:pStyle w:val="Style1toc"/>
        <w:rPr/>
      </w:pPr>
      <w:r>
        <w:rPr/>
        <w:t>ARTICLE 10</w:t>
      </w:r>
      <w:r>
        <w:fldChar w:fldCharType="begin"/>
      </w:r>
      <w:r>
        <w:rPr/>
        <w:instrText xml:space="preserve"> TC "ARTICLE 10:  DOCUMENTATION" \l 1 </w:instrText>
      </w:r>
      <w:r>
        <w:rPr/>
        <w:fldChar w:fldCharType="separate"/>
      </w:r>
      <w:r>
        <w:rPr/>
      </w:r>
      <w:r>
        <w:rPr/>
        <w:fldChar w:fldCharType="end"/>
      </w:r>
      <w:bookmarkStart w:id="73" w:name="__RefHeading___Toc482936866"/>
      <w:bookmarkEnd w:id="73"/>
    </w:p>
    <w:p>
      <w:pPr>
        <w:pStyle w:val="Style1toc"/>
        <w:rPr/>
      </w:pPr>
      <w:r>
        <w:rPr/>
        <w:t>DOCUMENTATION</w:t>
      </w:r>
    </w:p>
    <w:p>
      <w:pPr>
        <w:pStyle w:val="Style2toc"/>
        <w:rPr/>
      </w:pPr>
      <w:r>
        <w:rPr/>
      </w:r>
    </w:p>
    <w:p>
      <w:pPr>
        <w:pStyle w:val="Style2toc"/>
        <w:rPr/>
      </w:pPr>
      <w:r>
        <w:rPr/>
        <w:t>10.1</w:t>
        <w:tab/>
      </w:r>
      <w:r>
        <w:rPr>
          <w:u w:val="single"/>
        </w:rPr>
        <w:t>Delivery of Job Books</w:t>
      </w:r>
      <w:r>
        <w:fldChar w:fldCharType="begin"/>
      </w:r>
      <w:r>
        <w:rPr/>
        <w:instrText xml:space="preserve"> TC "10.1</w:instrText>
        <w:tab/>
        <w:instrText xml:space="preserve">Delivery of Job Books" \l 2 </w:instrText>
      </w:r>
      <w:r>
        <w:rPr/>
        <w:fldChar w:fldCharType="separate"/>
      </w:r>
      <w:r>
        <w:rPr/>
      </w:r>
      <w:r>
        <w:rPr/>
        <w:fldChar w:fldCharType="end"/>
      </w:r>
      <w:bookmarkStart w:id="74" w:name="__RefHeading___Toc482936867"/>
      <w:bookmarkEnd w:id="74"/>
      <w:r>
        <w:rPr/>
        <w:t>. At least sixty (60) days prior to commencement of commissioning of the first major Facility system, Contractor shall deliver to Owner eight (8) copies of the semifinal draft of the job books for the Facility (the “Job Books”) in the format and including the information and materials described in Exhibit R-1.  Such semifinal draft shall be without as</w:t>
        <w:noBreakHyphen/>
        <w:t>built drawings, but as reasonably complete as available information will allow, with sufficient information to permit the training of Owner’s operators and the normal operation and maintenance of the Facility by Persons generally familiar with plants similar to the Facility.  Within one hundred and twenty (120) days following Provisional Acceptance, Contractor shall provide to Owner eight (8) copies of the final Job Books, including complete sets of as-built drawings, in accordance with the provisions of Exhibit R-1.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BodyText"/>
        <w:rPr/>
      </w:pPr>
      <w:r>
        <w:rPr/>
      </w:r>
    </w:p>
    <w:p>
      <w:pPr>
        <w:pStyle w:val="Style2toc"/>
        <w:rPr/>
      </w:pPr>
      <w:r>
        <w:rPr/>
        <w:t>10.2</w:t>
        <w:tab/>
      </w:r>
      <w:r>
        <w:rPr>
          <w:u w:val="single"/>
        </w:rPr>
        <w:t>Machine Readable Information</w:t>
      </w:r>
      <w:r>
        <w:fldChar w:fldCharType="begin"/>
      </w:r>
      <w:r>
        <w:rPr/>
        <w:instrText xml:space="preserve"> TC "10.2</w:instrText>
        <w:tab/>
        <w:instrText xml:space="preserve">Machine Readable Information" \l 2 </w:instrText>
      </w:r>
      <w:r>
        <w:rPr/>
        <w:fldChar w:fldCharType="separate"/>
      </w:r>
      <w:r>
        <w:rPr/>
      </w:r>
      <w:r>
        <w:rPr/>
        <w:fldChar w:fldCharType="end"/>
      </w:r>
      <w:bookmarkStart w:id="75" w:name="__RefHeading___Toc482936868"/>
      <w:bookmarkEnd w:id="75"/>
      <w:r>
        <w:rPr/>
        <w:t>. Where any of the information to be provided by Contractor to Owner pursuant to this Article 10 is produced on computer or is otherwise available in magnetic, optical, or other digital machine readable form, Contractor shall provide to Owner a machine readable copy of such information as well as a hard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Owner shall use such information in machine readable form at its own risk, and Contractor shall bear no liability for such use.  Contractor shall retain hard copy originals of all documentation delivered to Owner in machine readable form, which originals shall be referred to and shall govern in the event of any inconsistency between the two.</w:t>
      </w:r>
    </w:p>
    <w:p>
      <w:pPr>
        <w:pStyle w:val="BodyText"/>
        <w:rPr/>
      </w:pPr>
      <w:r>
        <w:rPr/>
      </w:r>
    </w:p>
    <w:p>
      <w:pPr>
        <w:pStyle w:val="Style1toc"/>
        <w:rPr/>
      </w:pPr>
      <w:r>
        <w:rPr/>
        <w:t>ARTICLE 11</w:t>
      </w:r>
      <w:r>
        <w:fldChar w:fldCharType="begin"/>
      </w:r>
      <w:r>
        <w:rPr/>
        <w:instrText xml:space="preserve"> TC "ARTICLE 11:  COMPLETION" \l 1 </w:instrText>
      </w:r>
      <w:r>
        <w:rPr/>
        <w:fldChar w:fldCharType="separate"/>
      </w:r>
      <w:r>
        <w:rPr/>
      </w:r>
      <w:r>
        <w:rPr/>
        <w:fldChar w:fldCharType="end"/>
      </w:r>
      <w:bookmarkStart w:id="76" w:name="__RefHeading___Toc482936869"/>
      <w:bookmarkEnd w:id="76"/>
    </w:p>
    <w:p>
      <w:pPr>
        <w:pStyle w:val="Style1toc"/>
        <w:rPr/>
      </w:pPr>
      <w:r>
        <w:rPr/>
        <w:t>COMPLETION</w:t>
      </w:r>
    </w:p>
    <w:p>
      <w:pPr>
        <w:pStyle w:val="BodyText"/>
        <w:rPr/>
      </w:pPr>
      <w:r>
        <w:rPr/>
      </w:r>
    </w:p>
    <w:p>
      <w:pPr>
        <w:pStyle w:val="BodyText"/>
        <w:rPr/>
      </w:pPr>
      <w:r>
        <w:rPr/>
        <w:t>11.1</w:t>
        <w:tab/>
      </w:r>
      <w:r>
        <w:rPr>
          <w:u w:val="single"/>
        </w:rPr>
        <w:t>Notices</w:t>
      </w:r>
      <w:r>
        <w:fldChar w:fldCharType="begin"/>
      </w:r>
      <w:r>
        <w:rPr/>
        <w:instrText xml:space="preserve"> TC "11.1</w:instrText>
        <w:tab/>
        <w:instrText xml:space="preserve">Notices" \l 2 </w:instrText>
      </w:r>
      <w:r>
        <w:rPr/>
        <w:fldChar w:fldCharType="separate"/>
      </w:r>
      <w:r>
        <w:rPr/>
      </w:r>
      <w:r>
        <w:rPr/>
        <w:fldChar w:fldCharType="end"/>
      </w:r>
      <w:bookmarkStart w:id="77" w:name="__RefHeading___Toc482936870"/>
      <w:bookmarkEnd w:id="77"/>
      <w:r>
        <w:rPr/>
        <w:t>. Contractor shall give Owner the notices of testing required by Exhibit E-3.</w:t>
      </w:r>
    </w:p>
    <w:p>
      <w:pPr>
        <w:pStyle w:val="BodyText"/>
        <w:rPr/>
      </w:pPr>
      <w:r>
        <w:rPr/>
      </w:r>
    </w:p>
    <w:p>
      <w:pPr>
        <w:pStyle w:val="BodyText"/>
        <w:rPr/>
      </w:pPr>
      <w:r>
        <w:rPr/>
        <w:t>11.2</w:t>
        <w:tab/>
      </w:r>
      <w:r>
        <w:rPr>
          <w:u w:val="single"/>
        </w:rPr>
        <w:t>Provisional Acceptance Certificates</w:t>
      </w:r>
      <w:r>
        <w:fldChar w:fldCharType="begin"/>
      </w:r>
      <w:r>
        <w:rPr/>
        <w:instrText xml:space="preserve"> TC "11.2</w:instrText>
        <w:tab/>
        <w:instrText xml:space="preserve">Provisional Acceptance Certificates" \l 2 </w:instrText>
      </w:r>
      <w:r>
        <w:rPr/>
        <w:fldChar w:fldCharType="separate"/>
      </w:r>
      <w:r>
        <w:rPr/>
      </w:r>
      <w:r>
        <w:rPr/>
        <w:fldChar w:fldCharType="end"/>
      </w:r>
      <w:bookmarkStart w:id="78" w:name="__RefHeading___Toc482936871"/>
      <w:bookmarkEnd w:id="78"/>
      <w:r>
        <w:rPr/>
        <w:t>. The Facility shall be considered substantially complete and provisional acceptance shall occur (“Provisional Acceptance”) upon receipt and acceptance by Owner of a certificate from an officer of Contractor substantially in the form of Exhibit J-1 (the “Provisional Acceptance Certificate”) certifying the following to be true and correct:</w:t>
      </w:r>
    </w:p>
    <w:p>
      <w:pPr>
        <w:pStyle w:val="BodyText"/>
        <w:rPr/>
      </w:pPr>
      <w:r>
        <w:rPr/>
      </w:r>
    </w:p>
    <w:p>
      <w:pPr>
        <w:pStyle w:val="BodyText"/>
        <w:rPr/>
      </w:pPr>
      <w:r>
        <w:rPr/>
        <w:tab/>
        <w:t>11.2.1</w:t>
        <w:tab/>
        <w:t>the Facility is substantially complete in accordance with the Scope of Work, the Specifications, and all applicable Governmental Authorizations and permits, and can be safely operated for its intended purpose;</w:t>
      </w:r>
    </w:p>
    <w:p>
      <w:pPr>
        <w:pStyle w:val="BodyText"/>
        <w:rPr/>
      </w:pPr>
      <w:r>
        <w:rPr/>
      </w:r>
    </w:p>
    <w:p>
      <w:pPr>
        <w:pStyle w:val="BodyText"/>
        <w:rPr/>
      </w:pPr>
      <w:r>
        <w:rPr/>
        <w:tab/>
        <w:t>11.2.2</w:t>
        <w:tab/>
        <w:t>all Work required to be furnished by Contractor for the Facility is substantially complete and all Equipment has been delivered to the Site and properly incorporated into the Facility, except for Punchlist Items;</w:t>
      </w:r>
    </w:p>
    <w:p>
      <w:pPr>
        <w:pStyle w:val="BodyText"/>
        <w:rPr/>
      </w:pPr>
      <w:r>
        <w:rPr/>
      </w:r>
    </w:p>
    <w:p>
      <w:pPr>
        <w:pStyle w:val="BodyText"/>
        <w:rPr/>
      </w:pPr>
      <w:r>
        <w:rPr/>
        <w:tab/>
        <w:t>11.2.3</w:t>
        <w:tab/>
        <w:t>the Performance Tests required for Provisional Acceptance as specified in Exhibit E-3 have been successfully completed and a certificate of the results has been received by Owner;</w:t>
      </w:r>
    </w:p>
    <w:p>
      <w:pPr>
        <w:pStyle w:val="BodyText"/>
        <w:rPr/>
      </w:pPr>
      <w:r>
        <w:rPr/>
      </w:r>
    </w:p>
    <w:p>
      <w:pPr>
        <w:pStyle w:val="BodyText"/>
        <w:rPr/>
      </w:pPr>
      <w:r>
        <w:rPr/>
        <w:tab/>
        <w:t>11.2.4</w:t>
        <w:tab/>
        <w:t>Contractor is current in paying all Delay Liquidated Damages;</w:t>
      </w:r>
    </w:p>
    <w:p>
      <w:pPr>
        <w:pStyle w:val="BodyText"/>
        <w:rPr/>
      </w:pPr>
      <w:r>
        <w:rPr/>
      </w:r>
    </w:p>
    <w:p>
      <w:pPr>
        <w:pStyle w:val="BodyText"/>
        <w:rPr/>
      </w:pPr>
      <w:r>
        <w:rPr/>
        <w:tab/>
        <w:t>11.2.5</w:t>
        <w:tab/>
        <w:t>the Punchlist has been received and accepted by Owner;</w:t>
      </w:r>
    </w:p>
    <w:p>
      <w:pPr>
        <w:pStyle w:val="BodyText"/>
        <w:rPr/>
      </w:pPr>
      <w:r>
        <w:rPr/>
      </w:r>
    </w:p>
    <w:p>
      <w:pPr>
        <w:pStyle w:val="BodyText"/>
        <w:rPr/>
      </w:pPr>
      <w:r>
        <w:rPr/>
        <w:tab/>
        <w:t>11.2.6</w:t>
        <w:tab/>
        <w:t>Contractor has sufficiently completed the Facility to allow Owner to enter into commercial operation;</w:t>
      </w:r>
    </w:p>
    <w:p>
      <w:pPr>
        <w:pStyle w:val="BodyText"/>
        <w:rPr/>
      </w:pPr>
      <w:r>
        <w:rPr/>
      </w:r>
    </w:p>
    <w:p>
      <w:pPr>
        <w:pStyle w:val="BodyText"/>
        <w:rPr/>
      </w:pPr>
      <w:r>
        <w:rPr/>
        <w:tab/>
        <w:t>11.2.7</w:t>
        <w:tab/>
        <w:t>the Facility has met all applicable completion and testing requirements set out in this Agreement.</w:t>
      </w:r>
    </w:p>
    <w:p>
      <w:pPr>
        <w:pStyle w:val="BodyText"/>
        <w:rPr/>
      </w:pPr>
      <w:r>
        <w:rPr/>
      </w:r>
    </w:p>
    <w:p>
      <w:pPr>
        <w:pStyle w:val="BodyText"/>
        <w:rPr/>
      </w:pPr>
      <w:r>
        <w:rPr/>
        <w:tab/>
        <w:t>11.2.8</w:t>
        <w:tab/>
        <w:t>Mechanical Completion has been achieved; and</w:t>
      </w:r>
    </w:p>
    <w:p>
      <w:pPr>
        <w:pStyle w:val="BodyText"/>
        <w:rPr/>
      </w:pPr>
      <w:r>
        <w:rPr/>
      </w:r>
    </w:p>
    <w:p>
      <w:pPr>
        <w:pStyle w:val="BodyText"/>
        <w:rPr/>
      </w:pPr>
      <w:r>
        <w:rPr/>
        <w:tab/>
        <w:t>11.2.9</w:t>
        <w:tab/>
        <w:t>The Facility has met the Minimum Performance Guaranties.</w:t>
      </w:r>
    </w:p>
    <w:p>
      <w:pPr>
        <w:pStyle w:val="BodyText"/>
        <w:rPr/>
      </w:pPr>
      <w:r>
        <w:rPr/>
      </w:r>
    </w:p>
    <w:p>
      <w:pPr>
        <w:pStyle w:val="BodyText"/>
        <w:rPr/>
      </w:pPr>
      <w:r>
        <w:rPr/>
        <w:t>Together with such certificate, Contractor shall deliver to Owner a written report with respect to the test requirements listed above and the status of the Work in sufficient detail to enable Owner to independently determine whether Provisional Acceptance has occurred.</w:t>
      </w:r>
    </w:p>
    <w:p>
      <w:pPr>
        <w:pStyle w:val="BodyText"/>
        <w:rPr/>
      </w:pPr>
      <w:r>
        <w:rPr/>
      </w:r>
    </w:p>
    <w:p>
      <w:pPr>
        <w:pStyle w:val="Style2toc"/>
        <w:keepNext w:val="true"/>
        <w:rPr/>
      </w:pPr>
      <w:r>
        <w:rPr/>
        <w:t>11.3</w:t>
        <w:tab/>
      </w:r>
      <w:r>
        <w:rPr>
          <w:u w:val="single"/>
        </w:rPr>
        <w:t>Final Completion</w:t>
      </w:r>
      <w:r>
        <w:fldChar w:fldCharType="begin"/>
      </w:r>
      <w:r>
        <w:rPr/>
        <w:instrText xml:space="preserve"> TC "11.3</w:instrText>
        <w:tab/>
        <w:instrText xml:space="preserve">Final Completion" \l 2 </w:instrText>
      </w:r>
      <w:r>
        <w:rPr/>
        <w:fldChar w:fldCharType="separate"/>
      </w:r>
      <w:r>
        <w:rPr/>
      </w:r>
      <w:r>
        <w:rPr/>
        <w:fldChar w:fldCharType="end"/>
      </w:r>
      <w:bookmarkStart w:id="79" w:name="__RefHeading___Toc482936872"/>
      <w:bookmarkEnd w:id="79"/>
      <w:r>
        <w:rPr/>
        <w:t>.</w:t>
      </w:r>
    </w:p>
    <w:p>
      <w:pPr>
        <w:pStyle w:val="BodyText"/>
        <w:keepNext w:val="true"/>
        <w:rPr/>
      </w:pPr>
      <w:r>
        <w:rPr/>
      </w:r>
    </w:p>
    <w:p>
      <w:pPr>
        <w:pStyle w:val="BodyText"/>
        <w:rPr/>
      </w:pPr>
      <w:r>
        <w:rPr/>
        <w:tab/>
        <w:t>The Facility will be deemed to be finally complete (“Final Completion”) upon the receipt and acceptance by Owner of a certificate from an officer of Contractor substantially in the form set forth in Exhibit J-2 (the “Final Completion Certificate”) certifying each of the following to be true and correct:</w:t>
      </w:r>
    </w:p>
    <w:p>
      <w:pPr>
        <w:pStyle w:val="BodyText"/>
        <w:rPr/>
      </w:pPr>
      <w:r>
        <w:rPr/>
      </w:r>
    </w:p>
    <w:p>
      <w:pPr>
        <w:pStyle w:val="BodyText"/>
        <w:rPr/>
      </w:pPr>
      <w:r>
        <w:rPr/>
        <w:tab/>
        <w:t>11.3.1</w:t>
        <w:tab/>
        <w:t>Provisional Acceptance has occurred and all Punchlist Items have been completed;</w:t>
      </w:r>
    </w:p>
    <w:p>
      <w:pPr>
        <w:pStyle w:val="BodyText"/>
        <w:rPr/>
      </w:pPr>
      <w:r>
        <w:rPr/>
      </w:r>
    </w:p>
    <w:p>
      <w:pPr>
        <w:pStyle w:val="BodyText"/>
        <w:rPr/>
      </w:pPr>
      <w:r>
        <w:rPr/>
        <w:tab/>
        <w:t>11.3.2</w:t>
        <w:tab/>
        <w:t>the Availability Test has been successfully completed and a certificate of the results has been received by Owner;</w:t>
      </w:r>
    </w:p>
    <w:p>
      <w:pPr>
        <w:pStyle w:val="BodyText"/>
        <w:rPr/>
      </w:pPr>
      <w:r>
        <w:rPr/>
      </w:r>
    </w:p>
    <w:p>
      <w:pPr>
        <w:pStyle w:val="BodyText"/>
        <w:rPr/>
      </w:pPr>
      <w:r>
        <w:rPr/>
        <w:tab/>
        <w:t>11.3.3</w:t>
        <w:tab/>
        <w:t>Contractor’s obligations under Section 3.7 and Article 10 have been completed;</w:t>
      </w:r>
    </w:p>
    <w:p>
      <w:pPr>
        <w:pStyle w:val="BodyText"/>
        <w:rPr/>
      </w:pPr>
      <w:r>
        <w:rPr/>
      </w:r>
    </w:p>
    <w:p>
      <w:pPr>
        <w:pStyle w:val="BodyText"/>
        <w:rPr/>
      </w:pPr>
      <w:r>
        <w:rPr/>
        <w:tab/>
        <w:t>11.3.4</w:t>
        <w:tab/>
        <w:t xml:space="preserve">Contractor has provided and caused the Subcontractors to provide the releases and waivers required pursuant to Sections 7.2.5 and 7.5; </w:t>
      </w:r>
    </w:p>
    <w:p>
      <w:pPr>
        <w:pStyle w:val="BodyText"/>
        <w:rPr/>
      </w:pPr>
      <w:r>
        <w:rPr/>
      </w:r>
    </w:p>
    <w:p>
      <w:pPr>
        <w:pStyle w:val="BodyText"/>
        <w:rPr/>
      </w:pPr>
      <w:r>
        <w:rPr/>
        <w:tab/>
        <w:t>11.3.5</w:t>
        <w:tab/>
        <w:t>Contractor has met all its obligations under this Agreement other than the warranty obligations under Article 12 and any obligations that survive the termination of this Agreement;</w:t>
      </w:r>
    </w:p>
    <w:p>
      <w:pPr>
        <w:pStyle w:val="BodyText"/>
        <w:rPr/>
      </w:pPr>
      <w:r>
        <w:rPr/>
      </w:r>
    </w:p>
    <w:p>
      <w:pPr>
        <w:pStyle w:val="BodyText"/>
        <w:rPr/>
      </w:pPr>
      <w:r>
        <w:rPr/>
        <w:tab/>
        <w:t>11.3.6</w:t>
        <w:tab/>
        <w:t>the Facility has met the Performance Guaranties or Contractor has paid all Performance Liquidated Damages; and</w:t>
      </w:r>
    </w:p>
    <w:p>
      <w:pPr>
        <w:pStyle w:val="BodyText"/>
        <w:rPr/>
      </w:pPr>
      <w:r>
        <w:rPr/>
      </w:r>
    </w:p>
    <w:p>
      <w:pPr>
        <w:pStyle w:val="BodyText"/>
        <w:ind w:firstLine="720" w:end="0"/>
        <w:rPr/>
      </w:pPr>
      <w:r>
        <w:rPr/>
        <w:t>11.3.7</w:t>
        <w:tab/>
        <w:t>Contractor has paid all Delay Liquidated Damages required under this Agreement.</w:t>
      </w:r>
    </w:p>
    <w:p>
      <w:pPr>
        <w:pStyle w:val="BodyText"/>
        <w:rPr/>
      </w:pPr>
      <w:r>
        <w:rPr/>
      </w:r>
    </w:p>
    <w:p>
      <w:pPr>
        <w:pStyle w:val="BodyText"/>
        <w:rPr/>
      </w:pPr>
      <w:r>
        <w:rPr/>
        <w:t>11.4</w:t>
        <w:tab/>
      </w:r>
      <w:r>
        <w:rPr>
          <w:u w:val="single"/>
        </w:rPr>
        <w:t>Owner Acceptance of Completion Certificates</w:t>
      </w:r>
      <w:r>
        <w:fldChar w:fldCharType="begin"/>
      </w:r>
      <w:r>
        <w:rPr/>
        <w:instrText xml:space="preserve"> TC "11.4</w:instrText>
        <w:tab/>
        <w:instrText xml:space="preserve">Owner Acceptance of Completion Certificates" \l 2 </w:instrText>
      </w:r>
      <w:r>
        <w:rPr/>
        <w:fldChar w:fldCharType="separate"/>
      </w:r>
      <w:r>
        <w:rPr/>
      </w:r>
      <w:r>
        <w:rPr/>
        <w:fldChar w:fldCharType="end"/>
      </w:r>
      <w:bookmarkStart w:id="80" w:name="__RefHeading___Toc482936873"/>
      <w:bookmarkEnd w:id="80"/>
      <w:r>
        <w:rPr/>
        <w:t>.  Within (3) days after receipt of either a Provisional Acceptance Certificate or (7) days after receipt of the Final Completion Certificate, Owner shall either (a) notify Contractor of its acceptance of such certificate and acknowledge that Provisional Acceptance or Final Completion has occurred, or (b) if reasonable cause exists for doing so, notify Contractor in writing that Provisional Acceptance or Final Completion has not been achieved, stating in detail the reasons therefor.  In the event Owner determines that Provisional Acceptance or Final Completion has not been achieved, Contractor shall promptly take such action or perform such additional Work or other services as will achieve Provisional Acceptance or Final Completion and then issue to Owner another Certificate pursuant to Section 11.2 or 11.3.  Owner shall respond to any such subsequent certificate from Contractor within seven (7) days following receipt.  Such procedure shall be repeated until such time as Owner has acknowledged Provisional Acceptance or Final Completion.  The failure of Owner to respond to any certificate submitted by Contractor within the time period required in this Section 11.4 shall be deemed an acceptance of the certificate and acknowledgment of Provisional Acceptance or Final Completion by Owner.  The effective date of Provisional Acceptance and Final Completion shall be deemed the day that Owner received the certificate that is ultimately accepted by Owner pursuant to this Section 11.4.</w:t>
      </w:r>
    </w:p>
    <w:p>
      <w:pPr>
        <w:pStyle w:val="BodyText"/>
        <w:rPr/>
      </w:pPr>
      <w:r>
        <w:rPr/>
      </w:r>
    </w:p>
    <w:p>
      <w:pPr>
        <w:pStyle w:val="Style2toc"/>
        <w:keepNext w:val="true"/>
        <w:rPr/>
      </w:pPr>
      <w:r>
        <w:rPr/>
        <w:t>11.5</w:t>
        <w:tab/>
      </w:r>
      <w:r>
        <w:rPr>
          <w:u w:val="single"/>
        </w:rPr>
        <w:t>Punchlist</w:t>
      </w:r>
      <w:r>
        <w:fldChar w:fldCharType="begin"/>
      </w:r>
      <w:r>
        <w:rPr/>
        <w:instrText xml:space="preserve"> TC "11.5</w:instrText>
        <w:tab/>
        <w:instrText xml:space="preserve">Punchlist" \l 2 </w:instrText>
      </w:r>
      <w:r>
        <w:rPr/>
        <w:fldChar w:fldCharType="separate"/>
      </w:r>
      <w:r>
        <w:rPr/>
      </w:r>
      <w:r>
        <w:rPr/>
        <w:fldChar w:fldCharType="end"/>
      </w:r>
      <w:bookmarkStart w:id="81" w:name="__RefHeading___Toc482936874"/>
      <w:bookmarkEnd w:id="81"/>
      <w:r>
        <w:rPr/>
        <w:t>.</w:t>
      </w:r>
    </w:p>
    <w:p>
      <w:pPr>
        <w:pStyle w:val="BodyText"/>
        <w:keepNext w:val="true"/>
        <w:rPr/>
      </w:pPr>
      <w:r>
        <w:rPr/>
      </w:r>
    </w:p>
    <w:p>
      <w:pPr>
        <w:pStyle w:val="BodyText"/>
        <w:rPr/>
      </w:pPr>
      <w:r>
        <w:rPr/>
        <w:tab/>
        <w:t>11.5.1</w:t>
        <w:tab/>
      </w:r>
      <w:r>
        <w:rPr>
          <w:u w:val="single"/>
        </w:rPr>
        <w:t>Punchlist Preparation</w:t>
      </w:r>
      <w:r>
        <w:rPr/>
        <w:t>.  Prior to Provisional Acceptance, Owner and Contractor shall  inspect the Facility and Contractor shall prepare a listing of the outstanding Punchlist Items (the “Punchlist”) and provide it to Owner together with an estimate of the cost and time to complete or correct each such Punchlist Item.  In each case, such Punchlist Items shall not be grounds for not accepting the Provisional Acceptance Certificate.  The draft Punchlist shall be prepared in accordance with Contractor’s quality assurance manual and submitted to Owner for review.  Owner shall review and comment on the Punchlist not later than five (5) days after Owner’s receipt thereof, and Contractor shall issue a revised Punchlist to Owner that takes account of or responds to Owner’s comments not later than five (5) days after Contractor’s receipt of such comments. Any dispute between Owner and Contractor regarding the Punchlist shall be resolved in accordance with the procedure set forth in Section 19.2.</w:t>
      </w:r>
    </w:p>
    <w:p>
      <w:pPr>
        <w:pStyle w:val="BodyText"/>
        <w:rPr/>
      </w:pPr>
      <w:r>
        <w:rPr/>
      </w:r>
    </w:p>
    <w:p>
      <w:pPr>
        <w:pStyle w:val="BodyText"/>
        <w:rPr/>
      </w:pPr>
      <w:r>
        <w:rPr/>
        <w:tab/>
        <w:t>11.5.2</w:t>
        <w:tab/>
      </w:r>
      <w:r>
        <w:rPr>
          <w:u w:val="single"/>
        </w:rPr>
        <w:t>Punchlist Withholding</w:t>
      </w:r>
      <w:r>
        <w:rPr/>
        <w:t>.  Owner shall withhold “Punchlist Withholding” in an amount equal to one hundred fifty percent (150%) of the estimated cost of correcting all outstanding Punchlist Items from the payment due to Contractor and retain such amount until the Punchlist Items are corrected or until a Retention Bond covering such Punchlist Withholding has been provided as set forth in Section 21.1.</w:t>
      </w:r>
    </w:p>
    <w:p>
      <w:pPr>
        <w:pStyle w:val="BodyText"/>
        <w:rPr/>
      </w:pPr>
      <w:r>
        <w:rPr/>
      </w:r>
    </w:p>
    <w:p>
      <w:pPr>
        <w:pStyle w:val="BodyText"/>
        <w:rPr/>
      </w:pPr>
      <w:r>
        <w:rPr/>
        <w:tab/>
        <w:t>11.5.3</w:t>
        <w:tab/>
      </w:r>
      <w:r>
        <w:rPr>
          <w:u w:val="single"/>
        </w:rPr>
        <w:t>Correction of Punchlist Items</w:t>
      </w:r>
      <w:r>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the operation of the Facility.  Owner shall provide Contractor reasonable access to the Facility to perform such Work in accordance with such schedule to the extent that such access does not interfere with the operations of the Facility.</w:t>
      </w:r>
    </w:p>
    <w:p>
      <w:pPr>
        <w:pStyle w:val="BodyText"/>
        <w:rPr/>
      </w:pPr>
      <w:r>
        <w:rPr/>
      </w:r>
    </w:p>
    <w:p>
      <w:pPr>
        <w:pStyle w:val="BodyText"/>
        <w:rPr/>
      </w:pPr>
      <w:r>
        <w:rPr/>
        <w:t>11.6</w:t>
        <w:tab/>
      </w:r>
      <w:r>
        <w:rPr>
          <w:u w:val="single"/>
        </w:rPr>
        <w:t>Right of Waiver</w:t>
      </w:r>
      <w:r>
        <w:fldChar w:fldCharType="begin"/>
      </w:r>
      <w:r>
        <w:rPr/>
        <w:instrText xml:space="preserve"> TC "11.6</w:instrText>
        <w:tab/>
        <w:instrText xml:space="preserve">Right of Waiver" \l 2 </w:instrText>
      </w:r>
      <w:r>
        <w:rPr/>
        <w:fldChar w:fldCharType="separate"/>
      </w:r>
      <w:r>
        <w:rPr/>
      </w:r>
      <w:r>
        <w:rPr/>
        <w:fldChar w:fldCharType="end"/>
      </w:r>
      <w:bookmarkStart w:id="82" w:name="__RefHeading___Toc482936875"/>
      <w:bookmarkEnd w:id="82"/>
      <w:r>
        <w:rPr/>
        <w:t>. 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BodyText"/>
        <w:rPr/>
      </w:pPr>
      <w:r>
        <w:rPr/>
      </w:r>
    </w:p>
    <w:p>
      <w:pPr>
        <w:pStyle w:val="BodyText"/>
        <w:rPr/>
      </w:pPr>
      <w:r>
        <w:rPr/>
        <w:t>11.7</w:t>
        <w:tab/>
      </w:r>
      <w:r>
        <w:rPr>
          <w:u w:val="single"/>
        </w:rPr>
        <w:t>Long-Term Obligations</w:t>
      </w:r>
      <w:r>
        <w:fldChar w:fldCharType="begin"/>
      </w:r>
      <w:r>
        <w:rPr/>
        <w:instrText xml:space="preserve"> TC "11.7</w:instrText>
        <w:tab/>
        <w:instrText xml:space="preserve">Long-Term Obligations" \l 2 </w:instrText>
      </w:r>
      <w:r>
        <w:rPr/>
        <w:fldChar w:fldCharType="separate"/>
      </w:r>
      <w:r>
        <w:rPr/>
      </w:r>
      <w:r>
        <w:rPr/>
        <w:fldChar w:fldCharType="end"/>
      </w:r>
      <w:bookmarkStart w:id="83" w:name="__RefHeading___Toc482936876"/>
      <w:bookmarkEnd w:id="83"/>
      <w:r>
        <w:rPr/>
        <w:t>. It is expressly understood and agreed by the Parties that nothing in this Article 11 shall in any way modify or alter Contractor’s obligations under Articles 12 and 13.</w:t>
      </w:r>
    </w:p>
    <w:p>
      <w:pPr>
        <w:pStyle w:val="BodyText"/>
        <w:rPr/>
      </w:pPr>
      <w:r>
        <w:rPr/>
      </w:r>
    </w:p>
    <w:p>
      <w:pPr>
        <w:pStyle w:val="Style1toc"/>
        <w:keepNext w:val="true"/>
        <w:rPr/>
      </w:pPr>
      <w:r>
        <w:rPr/>
        <w:t>ARTICLE 12</w:t>
      </w:r>
      <w:r>
        <w:fldChar w:fldCharType="begin"/>
      </w:r>
      <w:r>
        <w:rPr/>
        <w:instrText xml:space="preserve"> TC "ARTICLE 12:  WARRANTY" \l 1 </w:instrText>
      </w:r>
      <w:r>
        <w:rPr/>
        <w:fldChar w:fldCharType="separate"/>
      </w:r>
      <w:r>
        <w:rPr/>
      </w:r>
      <w:r>
        <w:rPr/>
        <w:fldChar w:fldCharType="end"/>
      </w:r>
      <w:bookmarkStart w:id="84" w:name="__RefHeading___Toc482936877"/>
      <w:bookmarkEnd w:id="84"/>
    </w:p>
    <w:p>
      <w:pPr>
        <w:pStyle w:val="Style1toc"/>
        <w:keepNext w:val="true"/>
        <w:rPr/>
      </w:pPr>
      <w:r>
        <w:rPr/>
        <w:t>WARRANTY</w:t>
      </w:r>
    </w:p>
    <w:p>
      <w:pPr>
        <w:pStyle w:val="BodyText"/>
        <w:keepNext w:val="true"/>
        <w:rPr/>
      </w:pPr>
      <w:r>
        <w:rPr/>
      </w:r>
    </w:p>
    <w:p>
      <w:pPr>
        <w:pStyle w:val="BodyText"/>
        <w:rPr/>
      </w:pPr>
      <w:r>
        <w:rPr/>
        <w:t>12.1</w:t>
        <w:tab/>
      </w:r>
      <w:r>
        <w:rPr>
          <w:u w:val="single"/>
        </w:rPr>
        <w:t>General Warranty</w:t>
      </w:r>
      <w:r>
        <w:fldChar w:fldCharType="begin"/>
      </w:r>
      <w:r>
        <w:rPr/>
        <w:instrText xml:space="preserve"> TC "12.1</w:instrText>
        <w:tab/>
        <w:instrText xml:space="preserve">General Warranty" \l 2 </w:instrText>
      </w:r>
      <w:r>
        <w:rPr/>
        <w:fldChar w:fldCharType="separate"/>
      </w:r>
      <w:r>
        <w:rPr/>
      </w:r>
      <w:r>
        <w:rPr/>
        <w:fldChar w:fldCharType="end"/>
      </w:r>
      <w:bookmarkStart w:id="85" w:name="__RefHeading___Toc482936878"/>
      <w:bookmarkEnd w:id="85"/>
      <w:r>
        <w:rPr/>
        <w:t>. 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 or vendors’ warranty requirements, GIIP, and all requirements of this Agreement.  Contractor warrants that the Facility shall be designed, engineered, and constructed to meet the requirements of this Agreement so that the Facility, when operated and maintained in accordance with the vendor operating manuals, will be capable of operating in accordance with GIIP and the  vendor operating manuals.  Contractor further warrants that the Work, including each item of Equipment and other items furnished by Contractor, shall be new and of good quality, shall be free from defects in design and engineering, materials, construction, and workmanship, and shall conform in all respects with all applicable Laws and Governmental Authorizations in effect at Provisional Acceptance, the Specifications, Scope of Work, and all other requirements of this Agreement.</w:t>
      </w:r>
    </w:p>
    <w:p>
      <w:pPr>
        <w:pStyle w:val="BodyText"/>
        <w:rPr/>
      </w:pPr>
      <w:r>
        <w:rPr/>
      </w:r>
    </w:p>
    <w:p>
      <w:pPr>
        <w:pStyle w:val="BodyText"/>
        <w:rPr/>
      </w:pPr>
      <w:r>
        <w:rPr/>
        <w:t>12.2</w:t>
        <w:tab/>
      </w:r>
      <w:r>
        <w:rPr>
          <w:u w:val="single"/>
        </w:rPr>
        <w:t>Warranty Period</w:t>
      </w:r>
      <w:r>
        <w:fldChar w:fldCharType="begin"/>
      </w:r>
      <w:r>
        <w:rPr/>
        <w:instrText xml:space="preserve"> TC "12.2</w:instrText>
        <w:tab/>
        <w:instrText xml:space="preserve">Warranty Period" \l 2 </w:instrText>
      </w:r>
      <w:r>
        <w:rPr/>
        <w:fldChar w:fldCharType="separate"/>
      </w:r>
      <w:r>
        <w:rPr/>
      </w:r>
      <w:r>
        <w:rPr/>
        <w:fldChar w:fldCharType="end"/>
      </w:r>
      <w:bookmarkStart w:id="86" w:name="__RefHeading___Toc482936879"/>
      <w:bookmarkEnd w:id="86"/>
      <w:r>
        <w:rPr/>
        <w:t>. The warranty set forth in Section 12.1 shall extend for a period of twelve (12) months following Provisional Acceptance (the “Warranty Period”).  The Warranty Period with respect to any Work or Equipment that is repaired, replaced, modified, or otherwise altered or corrected after Provisional Acceptance shall extend for twelve (12) months from the date of completion of such repair, replacement, modification, correction, or alteration, provided that in no event shall the Warranty Period extend beyond twenty</w:t>
        <w:noBreakHyphen/>
        <w:t>four (24) months from Provisional Acceptance.</w:t>
      </w:r>
    </w:p>
    <w:p>
      <w:pPr>
        <w:pStyle w:val="BodyText"/>
        <w:rPr/>
      </w:pPr>
      <w:r>
        <w:rPr/>
      </w:r>
    </w:p>
    <w:p>
      <w:pPr>
        <w:pStyle w:val="BodyText"/>
        <w:rPr/>
      </w:pPr>
      <w:r>
        <w:rPr/>
        <w:t>12.3</w:t>
        <w:tab/>
      </w:r>
      <w:r>
        <w:rPr>
          <w:u w:val="single"/>
        </w:rPr>
        <w:t>Remedy</w:t>
      </w:r>
      <w:r>
        <w:fldChar w:fldCharType="begin"/>
      </w:r>
      <w:r>
        <w:rPr/>
        <w:instrText xml:space="preserve"> TC "12.3</w:instrText>
        <w:tab/>
        <w:instrText xml:space="preserve">Remedy" \l 2 </w:instrText>
      </w:r>
      <w:r>
        <w:rPr/>
        <w:fldChar w:fldCharType="separate"/>
      </w:r>
      <w:r>
        <w:rPr/>
      </w:r>
      <w:r>
        <w:rPr/>
        <w:fldChar w:fldCharType="end"/>
      </w:r>
      <w:bookmarkStart w:id="87" w:name="__RefHeading___Toc482936880"/>
      <w:bookmarkEnd w:id="87"/>
      <w:r>
        <w:rPr/>
        <w:t>. Owner shall promptly give notice to Contractor of the discovery during the Warranty Period of any breach of Contractor’s warranties under Section 12.1, provided that failure of Owner to give prompt notice shall not remove Contractor’s obligations with respect to the warranty, provided, however that if the costs of completing the repairs is increased because of Owner’s failure to give timely notice then the Owner shall be liable for the amount of the cost increase caused by Owner’s delay.  Contractor, on an expedited basis if so requested by Owner, shall correct or replace the applicable Work or Equipment at no cost to Owner.  Promptly after receipt by Contractor of such notice, Contractor and Owner shall agree upon a schedule for Contractor’s performance of its warranty obligations which will allow Contractor to complete such work within a reasonable period of time without unreasonably interfering with the operation of the Facility.  Owner shall provide Contractor with full and free access to the Facility to perform such warranty obligations in accordance with such schedule.  Any change to the Work that would alter the Scope of Work or the Specifications may be made only with prior written approval of Owner in accordance with the terms of Article 6.  If, after notification of such defect, Contractor shall unreasonably delay in commencing, continuing, or completing the remedying of such defect in accordance with the agreed schedule, then Owner may correct such defect and Contractor shall be liable for all reasonable costs, charges, and expenses incurred by Owner in connection with such repair or replacement and shall immediately pay to Owner an amount equal to such costs, charges, and expenses upon receipt of invoices from Owner; furthermore, the Warranty Period shall be extended pursuant to the terms of Section 12.2 as though Contractor had made the repair.  The remedies of Owner under this Section 12.3 and Section 16.1.2.3 are the exclusive remedies of Owner arising out of the warranties set forth in Section 12.1 and any remedies to which Owner would otherwise be entitled at law arising out of such warranties are hereby excluded.</w:t>
      </w:r>
    </w:p>
    <w:p>
      <w:pPr>
        <w:pStyle w:val="BodyText"/>
        <w:rPr/>
      </w:pPr>
      <w:r>
        <w:rPr/>
      </w:r>
    </w:p>
    <w:p>
      <w:pPr>
        <w:pStyle w:val="BodyText"/>
        <w:rPr/>
      </w:pPr>
      <w:r>
        <w:rPr/>
        <w:t>12.4</w:t>
        <w:tab/>
      </w:r>
      <w:r>
        <w:rPr>
          <w:u w:val="single"/>
        </w:rPr>
        <w:t>Subcontractor Warranties</w:t>
      </w:r>
      <w:r>
        <w:fldChar w:fldCharType="begin"/>
      </w:r>
      <w:r>
        <w:rPr/>
        <w:instrText xml:space="preserve"> TC "12.4</w:instrText>
        <w:tab/>
        <w:instrText xml:space="preserve">Subcontractor Warranties" \l 2 </w:instrText>
      </w:r>
      <w:r>
        <w:rPr/>
        <w:fldChar w:fldCharType="separate"/>
      </w:r>
      <w:r>
        <w:rPr/>
      </w:r>
      <w:r>
        <w:rPr/>
        <w:fldChar w:fldCharType="end"/>
      </w:r>
      <w:bookmarkStart w:id="88" w:name="__RefHeading___Toc482936881"/>
      <w:bookmarkEnd w:id="88"/>
      <w:r>
        <w:rPr/>
        <w:t>. Contractor shall use reasonable efforts to obtain standard vendor warranties for the benefit of Contractor and Owner for all Equipment with warranty periods equal to or longer than the Warranty Period.  If such warranties extend beyond the Warranty Period, then they shall be transferred to Owner at the end of the Warranty Period, together with an assignment to Owner, or other acceptable provision for Owner enforcement or Contractor enforcement on behalf of Owner of any security, bond, or other performance guaranty with respect to such warranties, and Contractor shall act as liaison for Owner with such vendors in prosecuting any warranty claims.</w:t>
      </w:r>
    </w:p>
    <w:p>
      <w:pPr>
        <w:pStyle w:val="BodyText"/>
        <w:rPr/>
      </w:pPr>
      <w:r>
        <w:rPr/>
      </w:r>
    </w:p>
    <w:p>
      <w:pPr>
        <w:pStyle w:val="BodyText"/>
        <w:rPr/>
      </w:pPr>
      <w:r>
        <w:rPr/>
        <w:t>12.5</w:t>
        <w:tab/>
      </w:r>
      <w:r>
        <w:rPr>
          <w:u w:val="single"/>
        </w:rPr>
        <w:t>Warranty Exclusions</w:t>
      </w:r>
      <w:r>
        <w:fldChar w:fldCharType="begin"/>
      </w:r>
      <w:r>
        <w:rPr/>
        <w:instrText xml:space="preserve"> TC "12.5</w:instrText>
        <w:tab/>
        <w:instrText xml:space="preserve">Warranty Exclusions" \l 2 </w:instrText>
      </w:r>
      <w:r>
        <w:rPr/>
        <w:fldChar w:fldCharType="separate"/>
      </w:r>
      <w:r>
        <w:rPr/>
      </w:r>
      <w:r>
        <w:rPr/>
        <w:fldChar w:fldCharType="end"/>
      </w:r>
      <w:bookmarkStart w:id="89" w:name="__RefHeading___Toc482936882"/>
      <w:bookmarkEnd w:id="89"/>
      <w:r>
        <w:rPr/>
        <w:t>. The duties, liabilities, and obligations of Contractor under this Article 12 do not extend to any repairs, adjustments, alterations, replacements, or maintenance which may be required as a result of normal wear and tear in the operation of the Facility, normal degradation in the performance of Equipment, or as a result of Owner’s failure to operate or maintain the Facility in accordance with the vendor operating manuals.</w:t>
      </w:r>
    </w:p>
    <w:p>
      <w:pPr>
        <w:pStyle w:val="BodyText"/>
        <w:rPr/>
      </w:pPr>
      <w:r>
        <w:rPr/>
      </w:r>
    </w:p>
    <w:p>
      <w:pPr>
        <w:pStyle w:val="BodyText"/>
        <w:rPr/>
      </w:pPr>
      <w:r>
        <w:rPr/>
        <w:t>12.6</w:t>
        <w:tab/>
      </w:r>
      <w:r>
        <w:rPr>
          <w:u w:val="single"/>
        </w:rPr>
        <w:t>No Implied Warranties</w:t>
      </w:r>
      <w:r>
        <w:fldChar w:fldCharType="begin"/>
      </w:r>
      <w:r>
        <w:rPr/>
        <w:instrText xml:space="preserve"> TC "12.6</w:instrText>
        <w:tab/>
        <w:instrText xml:space="preserve">No Implied Warranties" \l 2 </w:instrText>
      </w:r>
      <w:r>
        <w:rPr/>
        <w:fldChar w:fldCharType="separate"/>
      </w:r>
      <w:r>
        <w:rPr/>
      </w:r>
      <w:r>
        <w:rPr/>
        <w:fldChar w:fldCharType="end"/>
      </w:r>
      <w:bookmarkStart w:id="90" w:name="__RefHeading___Toc482936883"/>
      <w:bookmarkEnd w:id="90"/>
      <w:r>
        <w:rPr/>
        <w:t>. THE EXPRESS WARRANTIES SET FORTH IN THIS AGREEMENT ARE EXCLUSIVE AND NO OTHER WARRANTIES OF ANY KIND, WHETHER STATUTORY, WRITTEN, ORAL, EXPRESS, OR IMPLIED (INCLUDING WARRANTIES OF FITNESS FOR A PARTICULAR PURPOSE OR MERCHANTABILITY AND IMPLIED WARRANTIES OF CUSTOM OR USAGE) SHALL APPLY.</w:t>
      </w:r>
    </w:p>
    <w:p>
      <w:pPr>
        <w:pStyle w:val="BodyText"/>
        <w:rPr/>
      </w:pPr>
      <w:r>
        <w:rPr/>
      </w:r>
    </w:p>
    <w:p>
      <w:pPr>
        <w:pStyle w:val="BodyTextIndent"/>
        <w:ind w:hanging="0" w:end="0"/>
        <w:rPr/>
      </w:pPr>
      <w:r>
        <w:rPr/>
        <w:t>12.7</w:t>
        <w:tab/>
      </w:r>
      <w:r>
        <w:rPr>
          <w:u w:val="single"/>
        </w:rPr>
        <w:t>Post Repair Testing</w:t>
      </w:r>
      <w:r>
        <w:fldChar w:fldCharType="begin"/>
      </w:r>
      <w:r>
        <w:rPr/>
        <w:instrText xml:space="preserve"> TC "12.7</w:instrText>
        <w:tab/>
        <w:instrText xml:space="preserve">Post Repair Testing" \l 2 </w:instrText>
      </w:r>
      <w:r>
        <w:rPr/>
        <w:fldChar w:fldCharType="separate"/>
      </w:r>
      <w:r>
        <w:rPr/>
      </w:r>
      <w:r>
        <w:rPr/>
        <w:fldChar w:fldCharType="end"/>
      </w:r>
      <w:bookmarkStart w:id="91" w:name="__RefHeading___Toc482936884"/>
      <w:bookmarkEnd w:id="91"/>
      <w:r>
        <w:rPr/>
        <w:t>.  Contractor shall reasonably demonstrate that the performance of the Facility has not been adversely affected by any work performed to correct a defect or other failure to meet the warranty requirements set forth in this Agreement.</w:t>
      </w:r>
    </w:p>
    <w:p>
      <w:pPr>
        <w:pStyle w:val="BodyText"/>
        <w:rPr/>
      </w:pPr>
      <w:r>
        <w:rPr/>
      </w:r>
    </w:p>
    <w:p>
      <w:pPr>
        <w:pStyle w:val="Style1toc"/>
        <w:keepNext w:val="true"/>
        <w:rPr/>
      </w:pPr>
      <w:r>
        <w:rPr/>
        <w:t>ARTICLE 13</w:t>
      </w:r>
      <w:r>
        <w:fldChar w:fldCharType="begin"/>
      </w:r>
      <w:r>
        <w:rPr/>
        <w:instrText xml:space="preserve"> TC "ARTICLE 13:  SCHEDULE GUARANTIES" \l 1 </w:instrText>
      </w:r>
      <w:r>
        <w:rPr/>
        <w:fldChar w:fldCharType="separate"/>
      </w:r>
      <w:r>
        <w:rPr/>
      </w:r>
      <w:r>
        <w:rPr/>
        <w:fldChar w:fldCharType="end"/>
      </w:r>
      <w:bookmarkStart w:id="92" w:name="__RefHeading___Toc482936885"/>
      <w:bookmarkEnd w:id="92"/>
    </w:p>
    <w:p>
      <w:pPr>
        <w:pStyle w:val="Style1toc"/>
        <w:keepNext w:val="true"/>
        <w:rPr/>
      </w:pPr>
      <w:r>
        <w:rPr/>
        <w:t>SCHEDULE GUARANTIES</w:t>
      </w:r>
    </w:p>
    <w:p>
      <w:pPr>
        <w:pStyle w:val="BodyText"/>
        <w:keepNext w:val="true"/>
        <w:rPr/>
      </w:pPr>
      <w:r>
        <w:rPr/>
      </w:r>
    </w:p>
    <w:p>
      <w:pPr>
        <w:pStyle w:val="BodyText"/>
        <w:rPr/>
      </w:pPr>
      <w:r>
        <w:rPr/>
        <w:t>13.1</w:t>
        <w:tab/>
      </w:r>
      <w:r>
        <w:rPr>
          <w:u w:val="single"/>
        </w:rPr>
        <w:t>Guaranty of Timely Completion</w:t>
      </w:r>
      <w:r>
        <w:fldChar w:fldCharType="begin"/>
      </w:r>
      <w:r>
        <w:rPr/>
        <w:instrText xml:space="preserve"> TC "13.1</w:instrText>
        <w:tab/>
        <w:instrText xml:space="preserve">Guaranty of Timely Completion" \l 2 </w:instrText>
      </w:r>
      <w:r>
        <w:rPr/>
        <w:fldChar w:fldCharType="separate"/>
      </w:r>
      <w:r>
        <w:rPr/>
      </w:r>
      <w:r>
        <w:rPr/>
        <w:fldChar w:fldCharType="end"/>
      </w:r>
      <w:bookmarkStart w:id="93" w:name="__RefHeading___Toc482936886"/>
      <w:bookmarkEnd w:id="93"/>
      <w:r>
        <w:rPr/>
        <w:t xml:space="preserve">. Contractor shall administer and perform the Work in accordance with the Project Schedule and guarantees Provisional Acceptance shall occur within 660 days of the Notice to Proceed Effective Date (the "Guaranteed Completion Date") and Final Completion shall occur by the “End Date”, which shall be the date 120 days after Provisional Acceptance. If progress on the Work is significantly delayed other than as a result of either Force Majeure or an Owner caused delay in the Project Schedule, the Contractor shall take reasonable actions, including, without limitation, working overtime, weekends, or holidays, or adding additional personnel, equipment, or work spreads, at no cost to the Owner, to cause Provisional Acceptance to occur by the Guaranteed Completion Date. </w:t>
      </w:r>
    </w:p>
    <w:p>
      <w:pPr>
        <w:pStyle w:val="BodyText"/>
        <w:rPr/>
      </w:pPr>
      <w:r>
        <w:rPr/>
      </w:r>
    </w:p>
    <w:p>
      <w:pPr>
        <w:pStyle w:val="BodyText"/>
        <w:rPr/>
      </w:pPr>
      <w:r>
        <w:rPr/>
        <w:t>13.2</w:t>
        <w:tab/>
      </w:r>
      <w:r>
        <w:rPr>
          <w:u w:val="single"/>
        </w:rPr>
        <w:t>Completion</w:t>
      </w:r>
      <w:r>
        <w:fldChar w:fldCharType="begin"/>
      </w:r>
      <w:r>
        <w:rPr/>
        <w:instrText xml:space="preserve"> TC "13.2</w:instrText>
        <w:tab/>
        <w:instrText xml:space="preserve">Completion" \l 2 </w:instrText>
      </w:r>
      <w:r>
        <w:rPr/>
        <w:fldChar w:fldCharType="separate"/>
      </w:r>
      <w:r>
        <w:rPr/>
      </w:r>
      <w:r>
        <w:rPr/>
        <w:fldChar w:fldCharType="end"/>
      </w:r>
      <w:bookmarkStart w:id="94" w:name="__RefHeading___Toc482936887"/>
      <w:bookmarkEnd w:id="94"/>
      <w:r>
        <w:rPr/>
        <w:t>. Contractor shall achieve Mechanical Completion prior to the Guaranteed Completion Date.</w:t>
      </w:r>
    </w:p>
    <w:p>
      <w:pPr>
        <w:pStyle w:val="BodyText"/>
        <w:rPr/>
      </w:pPr>
      <w:r>
        <w:rPr/>
      </w:r>
    </w:p>
    <w:p>
      <w:pPr>
        <w:pStyle w:val="Style2toc"/>
        <w:keepNext w:val="true"/>
        <w:rPr/>
      </w:pPr>
      <w:r>
        <w:rPr/>
        <w:t>13.3</w:t>
        <w:tab/>
      </w:r>
      <w:r>
        <w:rPr>
          <w:u w:val="single"/>
        </w:rPr>
        <w:t>Delay Liquidated Damages</w:t>
      </w:r>
      <w:r>
        <w:fldChar w:fldCharType="begin"/>
      </w:r>
      <w:r>
        <w:rPr/>
        <w:instrText xml:space="preserve"> TC "13.3</w:instrText>
        <w:tab/>
        <w:instrText xml:space="preserve">Delay Liquidated Damages" \l 2 </w:instrText>
      </w:r>
      <w:r>
        <w:rPr/>
        <w:fldChar w:fldCharType="separate"/>
      </w:r>
      <w:r>
        <w:rPr/>
      </w:r>
      <w:r>
        <w:rPr/>
        <w:fldChar w:fldCharType="end"/>
      </w:r>
      <w:bookmarkStart w:id="95" w:name="__RefHeading___Toc482936888"/>
      <w:bookmarkEnd w:id="95"/>
      <w:r>
        <w:rPr/>
        <w:t>.</w:t>
      </w:r>
    </w:p>
    <w:p>
      <w:pPr>
        <w:pStyle w:val="BodyText"/>
        <w:keepNext w:val="true"/>
        <w:rPr/>
      </w:pPr>
      <w:r>
        <w:rPr/>
      </w:r>
    </w:p>
    <w:p>
      <w:pPr>
        <w:pStyle w:val="BodyText"/>
        <w:rPr/>
      </w:pPr>
      <w:r>
        <w:rPr/>
        <w:tab/>
        <w:t>In the event Contractor fails to achieve Provisional Acceptance on or before the Guaranteed Completion Date, Owner may invoice Contractor on a monthly basis for the applicable Delay Liquidated Damages at the rate set forth on Exhibit C-4 with payment due from Contractor within five (5) days following submission of such invoice.  Owner may offset any such amounts in whole or in part against amounts due to Contractor under this Agreement.</w:t>
      </w:r>
    </w:p>
    <w:p>
      <w:pPr>
        <w:pStyle w:val="BodyText"/>
        <w:rPr/>
      </w:pPr>
      <w:r>
        <w:rPr/>
      </w:r>
    </w:p>
    <w:p>
      <w:pPr>
        <w:pStyle w:val="Style2toc"/>
        <w:keepNext w:val="true"/>
        <w:rPr/>
      </w:pPr>
      <w:r>
        <w:rPr/>
        <w:t>13.4</w:t>
        <w:tab/>
      </w:r>
      <w:r>
        <w:rPr>
          <w:u w:val="single"/>
        </w:rPr>
        <w:t>Performance Guaranties, Minimum Performance Guaranties, and Liquidated Damages</w:t>
      </w:r>
      <w:r>
        <w:fldChar w:fldCharType="begin"/>
      </w:r>
      <w:r>
        <w:rPr/>
        <w:instrText xml:space="preserve"> TC "13.4</w:instrText>
        <w:tab/>
        <w:instrText xml:space="preserve">Performance Guaranties and Liquidated Damages" \l 2 </w:instrText>
      </w:r>
      <w:r>
        <w:rPr/>
        <w:fldChar w:fldCharType="separate"/>
      </w:r>
      <w:r>
        <w:rPr/>
      </w:r>
      <w:r>
        <w:rPr/>
        <w:fldChar w:fldCharType="end"/>
      </w:r>
      <w:bookmarkStart w:id="96" w:name="__RefHeading___Toc482936889"/>
      <w:bookmarkEnd w:id="96"/>
      <w:r>
        <w:rPr/>
        <w:t>.</w:t>
      </w:r>
    </w:p>
    <w:p>
      <w:pPr>
        <w:pStyle w:val="BodyText"/>
        <w:keepNext w:val="true"/>
        <w:rPr/>
      </w:pPr>
      <w:r>
        <w:rPr/>
      </w:r>
    </w:p>
    <w:p>
      <w:pPr>
        <w:pStyle w:val="BodyText"/>
        <w:rPr/>
      </w:pPr>
      <w:r>
        <w:rPr/>
        <w:tab/>
        <w:t>13.4.1</w:t>
        <w:tab/>
      </w:r>
      <w:r>
        <w:rPr>
          <w:u w:val="single"/>
        </w:rPr>
        <w:t>Performance Guaranties</w:t>
      </w:r>
      <w:r>
        <w:rPr/>
        <w:t>.  Contractor guaranties that the Facility will meet the Performance Guaranties and the Minimum Performance Guaranties during the relevant Performance Tests.</w:t>
      </w:r>
    </w:p>
    <w:p>
      <w:pPr>
        <w:pStyle w:val="BodyText"/>
        <w:rPr/>
      </w:pPr>
      <w:r>
        <w:rPr/>
      </w:r>
    </w:p>
    <w:p>
      <w:pPr>
        <w:pStyle w:val="BodyText"/>
        <w:rPr/>
      </w:pPr>
      <w:r>
        <w:rPr/>
        <w:tab/>
        <w:t>13.4.2</w:t>
        <w:tab/>
      </w:r>
      <w:r>
        <w:rPr>
          <w:u w:val="single"/>
        </w:rPr>
        <w:t>Buydown Performance Liquidated Damages</w:t>
      </w:r>
      <w:r>
        <w:rPr/>
        <w:t xml:space="preserve">.  Contractor shall pay any Buydown Performance Liquidated Damages on or before the earlier of the following: </w:t>
      </w:r>
    </w:p>
    <w:p>
      <w:pPr>
        <w:pStyle w:val="BodyText"/>
        <w:rPr/>
      </w:pPr>
      <w:r>
        <w:rPr/>
      </w:r>
    </w:p>
    <w:p>
      <w:pPr>
        <w:pStyle w:val="BodyText"/>
        <w:ind w:hanging="720" w:start="1440" w:end="0"/>
        <w:rPr/>
      </w:pPr>
      <w:r>
        <w:rPr/>
        <w:t>(a)</w:t>
        <w:tab/>
        <w:t>within 10 days after Provisional Acceptance if Contractor has not declared in its Provisional Acceptance Certificate its intent to improve the performance of the Facility to meet the Performance Guaranties pursuant to Section 13.6,</w:t>
      </w:r>
    </w:p>
    <w:p>
      <w:pPr>
        <w:pStyle w:val="BodyText"/>
        <w:rPr/>
      </w:pPr>
      <w:r>
        <w:rPr/>
      </w:r>
    </w:p>
    <w:p>
      <w:pPr>
        <w:pStyle w:val="BodyText"/>
        <w:ind w:hanging="720" w:start="1440" w:end="0"/>
        <w:rPr/>
      </w:pPr>
      <w:r>
        <w:rPr/>
        <w:t>(b)</w:t>
        <w:tab/>
        <w:t>in the event that Contractor elected to improve Facility performance pursuant Section 13.6, within 10 days after the date Contractor submits its revised initial Performance Test report in which it declares that it will be making no further attempts to improve the performance of the Facility, or</w:t>
      </w:r>
    </w:p>
    <w:p>
      <w:pPr>
        <w:pStyle w:val="BodyText"/>
        <w:rPr/>
      </w:pPr>
      <w:r>
        <w:rPr/>
      </w:r>
    </w:p>
    <w:p>
      <w:pPr>
        <w:pStyle w:val="BodyText"/>
        <w:ind w:hanging="720" w:start="1440" w:end="0"/>
        <w:rPr/>
      </w:pPr>
      <w:r>
        <w:rPr/>
        <w:t>(c)</w:t>
        <w:tab/>
        <w:t>in the event that Contractor elected to improve Facility performance pursuant to Section 13.6, on the End Date.</w:t>
      </w:r>
    </w:p>
    <w:p>
      <w:pPr>
        <w:pStyle w:val="BodyText"/>
        <w:rPr/>
      </w:pPr>
      <w:r>
        <w:rPr/>
      </w:r>
    </w:p>
    <w:p>
      <w:pPr>
        <w:pStyle w:val="BodyText"/>
        <w:rPr/>
      </w:pPr>
      <w:r>
        <w:rPr/>
        <w:t>The amounts of Buydown Performance Liquidated Damages and the interaction of such with Interim Liquidated Damages is as set out in Exhibit C-4.</w:t>
      </w:r>
    </w:p>
    <w:p>
      <w:pPr>
        <w:pStyle w:val="BodyText"/>
        <w:rPr/>
      </w:pPr>
      <w:r>
        <w:rPr/>
      </w:r>
    </w:p>
    <w:p>
      <w:pPr>
        <w:pStyle w:val="BodyText"/>
        <w:rPr/>
      </w:pPr>
      <w:r>
        <w:rPr/>
        <w:tab/>
        <w:t>13.4.3</w:t>
        <w:tab/>
      </w:r>
      <w:r>
        <w:rPr>
          <w:u w:val="single"/>
        </w:rPr>
        <w:t>Interim Liquidated Damages</w:t>
      </w:r>
      <w:r>
        <w:rPr/>
        <w:t xml:space="preserve">. Provided that Contractor elects to attempt to improve the performance of the Facility subsequent to Provisional Acceptance pursuant Section 13.6, Contractor shall be obligated to pay Owner Interim Liquidated Damages as described in Exhibit C-4. </w:t>
      </w:r>
    </w:p>
    <w:p>
      <w:pPr>
        <w:pStyle w:val="BodyText"/>
        <w:rPr/>
      </w:pPr>
      <w:r>
        <w:rPr/>
        <w:tab/>
      </w:r>
    </w:p>
    <w:p>
      <w:pPr>
        <w:pStyle w:val="BodyText"/>
        <w:rPr/>
      </w:pPr>
      <w:r>
        <w:rPr/>
        <w:tab/>
        <w:t>13.4.4</w:t>
        <w:tab/>
      </w:r>
      <w:r>
        <w:rPr>
          <w:u w:val="single"/>
        </w:rPr>
        <w:t>Late Payment of Liquidated Damages</w:t>
      </w:r>
      <w:r>
        <w:rPr/>
        <w:t>.  All Interim Performance Liquidated Damages and/or Buydown Performance Liquidated Damages not paid on or before the date due shall accrue interest at the Default Rate from the date due until the date paid.  Owner may offset any such Interim Liquidated Damages, Buydown Liquidated Damages, and applicable interest in whole or in part against amounts due to Contractor under this Agreement.  The Contractor’s obligation to pay Buydown Liquidated Damages is subject to the Contractor’s right to improve performance as described in Section 13.6.</w:t>
      </w:r>
    </w:p>
    <w:p>
      <w:pPr>
        <w:pStyle w:val="BodyText"/>
        <w:rPr/>
      </w:pPr>
      <w:r>
        <w:rPr/>
      </w:r>
    </w:p>
    <w:p>
      <w:pPr>
        <w:pStyle w:val="BodyText"/>
        <w:rPr/>
      </w:pPr>
      <w:r>
        <w:rPr/>
        <w:t>13.5</w:t>
        <w:tab/>
      </w:r>
      <w:r>
        <w:rPr>
          <w:u w:val="single"/>
        </w:rPr>
        <w:t>Performance Tests</w:t>
      </w:r>
      <w:r>
        <w:fldChar w:fldCharType="begin"/>
      </w:r>
      <w:r>
        <w:rPr/>
        <w:instrText xml:space="preserve"> TC "13.5</w:instrText>
        <w:tab/>
        <w:instrText xml:space="preserve">Performance Tests" \l 2 </w:instrText>
      </w:r>
      <w:r>
        <w:rPr/>
        <w:fldChar w:fldCharType="separate"/>
      </w:r>
      <w:r>
        <w:rPr/>
      </w:r>
      <w:r>
        <w:rPr/>
        <w:fldChar w:fldCharType="end"/>
      </w:r>
      <w:bookmarkStart w:id="97" w:name="__RefHeading___Toc482936890"/>
      <w:bookmarkEnd w:id="97"/>
      <w:r>
        <w:rPr/>
        <w:t>. Contractor is responsible for conducting and supervising the Performance Tests and the Availability Test as part of the Work and such tests may be witnessed by Owner and its designated Representatives.  The notices required, the procedures to be followed, and the method of evaluation of the results of such tests shall be as provided in Exhibit E-3 which shall include the detailed test procedure, the degradation schedule and other factors which shall be taken into account in evaluating test results for all tests provided in this Agreement. Owner shall be entitled to sell and deliver all power and Steam that is produced during any testing procedures, and no additional payments shall be made to Contractor for such output.</w:t>
      </w:r>
    </w:p>
    <w:p>
      <w:pPr>
        <w:pStyle w:val="BodyText"/>
        <w:rPr/>
      </w:pPr>
      <w:r>
        <w:rPr/>
      </w:r>
    </w:p>
    <w:p>
      <w:pPr>
        <w:pStyle w:val="BodyText"/>
        <w:rPr/>
      </w:pPr>
      <w:r>
        <w:rPr/>
        <w:t>13.6</w:t>
        <w:tab/>
      </w:r>
      <w:r>
        <w:rPr>
          <w:u w:val="single"/>
        </w:rPr>
        <w:t>Contractor’s Right to Improve Performance</w:t>
      </w:r>
      <w:r>
        <w:fldChar w:fldCharType="begin"/>
      </w:r>
      <w:r>
        <w:rPr/>
        <w:instrText xml:space="preserve"> TC "13.6</w:instrText>
        <w:tab/>
        <w:instrText xml:space="preserve">Contractor’s Right to Improve Performance" \l 2 </w:instrText>
      </w:r>
      <w:r>
        <w:rPr/>
        <w:fldChar w:fldCharType="separate"/>
      </w:r>
      <w:r>
        <w:rPr/>
      </w:r>
      <w:r>
        <w:rPr/>
        <w:fldChar w:fldCharType="end"/>
      </w:r>
      <w:bookmarkStart w:id="98" w:name="__RefHeading___Toc482936891"/>
      <w:bookmarkEnd w:id="98"/>
      <w:r>
        <w:rPr/>
        <w:t>.  From Provisional Acceptance until the End Date, Contractor shall have the right to redesign and repair the Facility to improve the performance so as to meet or exceed the Performance Guaranties as follows:</w:t>
      </w:r>
    </w:p>
    <w:p>
      <w:pPr>
        <w:pStyle w:val="BodyText"/>
        <w:rPr/>
      </w:pPr>
      <w:r>
        <w:rPr/>
      </w:r>
    </w:p>
    <w:p>
      <w:pPr>
        <w:pStyle w:val="BodyText"/>
        <w:rPr/>
      </w:pPr>
      <w:r>
        <w:rPr/>
        <w:tab/>
        <w:t>13.6.1</w:t>
        <w:tab/>
        <w:t>Contractor must notify Owner in the Provisional Acceptance Certificate that Contractor has elected to attempt to improve the Facility performance.</w:t>
      </w:r>
    </w:p>
    <w:p>
      <w:pPr>
        <w:pStyle w:val="BodyText"/>
        <w:rPr/>
      </w:pPr>
      <w:r>
        <w:rPr/>
      </w:r>
    </w:p>
    <w:p>
      <w:pPr>
        <w:pStyle w:val="BodyText"/>
        <w:rPr/>
      </w:pPr>
      <w:r>
        <w:rPr/>
        <w:tab/>
        <w:t>13.6.2</w:t>
        <w:tab/>
        <w:t>Contractor and Owner shall in good faith negotiate and agree upon the scope of work Contractor shall perform and the schedule for performing such work, including a repetition of the applicable Performance Tests.  If Contractor and Owner are unable to agree upon such matters, then the dispute may be submitted to dispute resolution in accordance with Article 19.  Contractor and Owner shall cooperate in good faith such that Contractor’s work following Provisional Acceptance shall not interfere with or interrupt the normal operation of the Facility.</w:t>
      </w:r>
    </w:p>
    <w:p>
      <w:pPr>
        <w:pStyle w:val="BodyText"/>
        <w:rPr/>
      </w:pPr>
      <w:r>
        <w:rPr/>
      </w:r>
    </w:p>
    <w:p>
      <w:pPr>
        <w:pStyle w:val="Style1toc"/>
        <w:keepNext w:val="true"/>
        <w:rPr/>
      </w:pPr>
      <w:r>
        <w:rPr/>
        <w:t>ARTICLE 14</w:t>
      </w:r>
      <w:r>
        <w:fldChar w:fldCharType="begin"/>
      </w:r>
      <w:r>
        <w:rPr/>
        <w:instrText xml:space="preserve"> TC "ARTICLE 14:  LIMITATION OF LIABILITY" \l 1 </w:instrText>
      </w:r>
      <w:r>
        <w:rPr/>
        <w:fldChar w:fldCharType="separate"/>
      </w:r>
      <w:r>
        <w:rPr/>
      </w:r>
      <w:r>
        <w:rPr/>
        <w:fldChar w:fldCharType="end"/>
      </w:r>
      <w:bookmarkStart w:id="99" w:name="__RefHeading___Toc482936892"/>
      <w:bookmarkEnd w:id="99"/>
    </w:p>
    <w:p>
      <w:pPr>
        <w:pStyle w:val="Style1toc"/>
        <w:keepNext w:val="true"/>
        <w:rPr/>
      </w:pPr>
      <w:r>
        <w:rPr/>
        <w:t>LIMITATION OF LIABILITY</w:t>
      </w:r>
    </w:p>
    <w:p>
      <w:pPr>
        <w:pStyle w:val="BodyText"/>
        <w:keepNext w:val="true"/>
        <w:rPr/>
      </w:pPr>
      <w:r>
        <w:rPr/>
      </w:r>
    </w:p>
    <w:p>
      <w:pPr>
        <w:pStyle w:val="BodyText"/>
        <w:rPr/>
      </w:pPr>
      <w:r>
        <w:rPr/>
        <w:t>14.1</w:t>
        <w:tab/>
      </w:r>
      <w:r>
        <w:rPr>
          <w:u w:val="single"/>
        </w:rPr>
        <w:t>Maximum Liability</w:t>
      </w:r>
      <w:r>
        <w:fldChar w:fldCharType="begin"/>
      </w:r>
      <w:r>
        <w:rPr/>
        <w:instrText xml:space="preserve"> TC "14.1</w:instrText>
        <w:tab/>
        <w:instrText xml:space="preserve">Maximum Liability" \l 2 </w:instrText>
      </w:r>
      <w:r>
        <w:rPr/>
        <w:fldChar w:fldCharType="separate"/>
      </w:r>
      <w:r>
        <w:rPr/>
      </w:r>
      <w:r>
        <w:rPr/>
        <w:fldChar w:fldCharType="end"/>
      </w:r>
      <w:bookmarkStart w:id="100" w:name="__RefHeading___Toc482936893"/>
      <w:bookmarkEnd w:id="100"/>
      <w:r>
        <w:rPr/>
        <w:t>. Contractor’s maximum aggregate liability for damages for non</w:t>
        <w:softHyphen/>
        <w:t>performance and/or defective performance shall be thirty percent (30%) of the Contract Price (the “Aggregate Limit”) which limit includes but is not limited to liquidated damages, tort (including negligence and strict liability) and breach of contract (including any breach resulting in termination). Provided, however that the Aggregate Limit shall not apply to Contractor’s Liability for failure to achieve Provisional Acceptance for which event Contractor’s maximum aggregate Liability shall be fifty percent (50%) of the Contract Price (the “Provisional Acceptance Limit”).  Contractor’s maximum liability for liquidated damages as well as the Contractor’s maximum liability for specific categories of liquidated damages are set forth in Exhibit C-4.</w:t>
      </w:r>
    </w:p>
    <w:p>
      <w:pPr>
        <w:pStyle w:val="BodyText"/>
        <w:rPr/>
      </w:pPr>
      <w:r>
        <w:rPr/>
      </w:r>
    </w:p>
    <w:p>
      <w:pPr>
        <w:pStyle w:val="BodyText"/>
        <w:rPr/>
      </w:pPr>
      <w:r>
        <w:rPr/>
        <w:tab/>
        <w:t>The foregoing limitations of liability shall not apply to Contractor’s liability for breach of its obligations under Sections 3.10 (FCPA), 3.11 (Compliance with Laws), 3.17 (No Liens), 3.18.2 (Hazardous Materials; New), and Article 18 (Indemnities). Contractor expressly acknowledges and agrees that any of its liability provided for by the proceeds of the insurance maintained pursuant to Article 9 shall not reduce or be applied against any of the Aggregate Limit, the Provisional Acceptance Limit, the Delay Limit or the Liquidated Limit.</w:t>
      </w:r>
    </w:p>
    <w:p>
      <w:pPr>
        <w:pStyle w:val="BodyText"/>
        <w:rPr/>
      </w:pPr>
      <w:r>
        <w:rPr/>
      </w:r>
    </w:p>
    <w:p>
      <w:pPr>
        <w:pStyle w:val="BodyText"/>
        <w:rPr/>
      </w:pPr>
      <w:r>
        <w:rPr/>
        <w:t>14.2</w:t>
        <w:tab/>
      </w:r>
      <w:r>
        <w:rPr>
          <w:u w:val="single"/>
        </w:rPr>
        <w:t>Consequential Damages</w:t>
      </w:r>
      <w:r>
        <w:fldChar w:fldCharType="begin"/>
      </w:r>
      <w:r>
        <w:rPr/>
        <w:instrText xml:space="preserve"> TC "14.2</w:instrText>
        <w:tab/>
        <w:instrText xml:space="preserve">Consequential Damages" \l 2 </w:instrText>
      </w:r>
      <w:r>
        <w:rPr/>
        <w:fldChar w:fldCharType="separate"/>
      </w:r>
      <w:r>
        <w:rPr/>
      </w:r>
      <w:r>
        <w:rPr/>
        <w:fldChar w:fldCharType="end"/>
      </w:r>
      <w:bookmarkStart w:id="101" w:name="__RefHeading___Toc482936894"/>
      <w:bookmarkEnd w:id="101"/>
      <w:r>
        <w:rPr/>
        <w:t>. Subject to Section 18.1 and 18.2, Contractor hereby waives with respect to Owner (and Owner’s subcontractors, vendors, and suppliers), and Owner waives with respect to Contractor (and Contractor’s Subcontractors) any right to, damages that constitute incidental, special, indirect, or consequential damages of any nature whatsoever (“Special Damages”), including, but not limited to, losses or damages caused by reason of unavailability of the Facility, shutdowns or service interruptions, loss of use, non-operation of the Facility or any Equipment or Contractor’s Equipment, loss of power or Steam or cost of replacement power or Steam, loss of profits or revenue, loss of contracts, cost of capital, inventory or use charges, or claims of Offtakers, except to the extent such damages are included in the liquidated damages set forth in this Agreement. The foregoing waiver shall apply whether liability is asserted, either individually or jointly and irrespective of whether alleged to be by way of indemnity, as a result of breach of contract, breach of warranty, tort, (including negligence), strict liability, or any other legal theory, and whether arising before or after completion of the Facility.</w:t>
      </w:r>
    </w:p>
    <w:p>
      <w:pPr>
        <w:pStyle w:val="BodyText"/>
        <w:rPr/>
      </w:pPr>
      <w:r>
        <w:rPr/>
      </w:r>
    </w:p>
    <w:p>
      <w:pPr>
        <w:pStyle w:val="BodyText"/>
        <w:rPr/>
      </w:pPr>
      <w:r>
        <w:rPr/>
        <w:t>14.3</w:t>
        <w:tab/>
      </w:r>
      <w:r>
        <w:rPr>
          <w:u w:val="single"/>
        </w:rPr>
        <w:t>Releases Valid in All Events</w:t>
      </w:r>
      <w:r>
        <w:fldChar w:fldCharType="begin"/>
      </w:r>
      <w:r>
        <w:rPr/>
        <w:instrText xml:space="preserve"> TC "14.3</w:instrText>
        <w:tab/>
        <w:instrText xml:space="preserve">Releases Valid in All Events" \l 2 </w:instrText>
      </w:r>
      <w:r>
        <w:rPr/>
        <w:fldChar w:fldCharType="separate"/>
      </w:r>
      <w:r>
        <w:rPr/>
      </w:r>
      <w:r>
        <w:rPr/>
        <w:fldChar w:fldCharType="end"/>
      </w:r>
      <w:bookmarkStart w:id="102" w:name="__RefHeading___Toc482936895"/>
      <w:bookmarkEnd w:id="102"/>
      <w:r>
        <w:rPr/>
        <w:t>. Releases, disclaimers, and limitations on liability expressed herein shall apply even in the event of the negligence, strict liability, default, or breach of contract (including other legal bases of responsibility such as fundamental breach) of the Party whose liability is released, disclaimed, or limited.</w:t>
      </w:r>
    </w:p>
    <w:p>
      <w:pPr>
        <w:pStyle w:val="BodyText"/>
        <w:rPr/>
      </w:pPr>
      <w:r>
        <w:rPr/>
      </w:r>
    </w:p>
    <w:p>
      <w:pPr>
        <w:pStyle w:val="BodyText"/>
        <w:rPr/>
      </w:pPr>
      <w:r>
        <w:rPr/>
        <w:t>14.4</w:t>
        <w:tab/>
      </w:r>
      <w:r>
        <w:rPr>
          <w:u w:val="single"/>
        </w:rPr>
        <w:t>Liquidated Damages Not Penalty</w:t>
      </w:r>
      <w:r>
        <w:fldChar w:fldCharType="begin"/>
      </w:r>
      <w:r>
        <w:rPr/>
        <w:instrText xml:space="preserve"> TC "14.4</w:instrText>
        <w:tab/>
        <w:instrText xml:space="preserve">Liquidated Damages Not Penalty" \l 2 </w:instrText>
      </w:r>
      <w:r>
        <w:rPr/>
        <w:fldChar w:fldCharType="separate"/>
      </w:r>
      <w:r>
        <w:rPr/>
      </w:r>
      <w:r>
        <w:rPr/>
        <w:fldChar w:fldCharType="end"/>
      </w:r>
      <w:bookmarkStart w:id="103" w:name="__RefHeading___Toc482936896"/>
      <w:bookmarkEnd w:id="103"/>
      <w:r>
        <w:rPr/>
        <w:t>. Owner and Contractor acknowledge and agree that because of the unique nature of the Facility and the unavailability of a substitute facility, it is difficult or impossible to determine with precision the amount of damages that would or might be incurred by Owner as a result of Contractor’s failure to achieve the Performance Guaranties or the Guaranteed Completion Date.  It is understood and agreed by the Parties that (i) Owner shall be damaged by failure of Contractor to meet such obligations, (ii) it would be impracticable or extremely difficult to fix the actual damages resulting therefrom, (iii) any sums which would be payable under this Agreement are in the nature of liquidated damages, and not a penalty, and are fair and reasonable, (iv) such payment represents a reasonable estimate of fair compensation for the losses that may reasonably be anticipated from such failure, and shall, without duplication, be the sole and exclusive measure of damages with respect to any such failure by Contractor, and (v) the Performance Liquidated Damages and the Delay Liquidated Damages have been calculated by reference to the losses which it may reasonably be anticipated will be suffered by Owner in the event that the Facility fails to achieve the Performance Guaranties or Provisional Acceptance of the Facility is not achieved by the Guaranteed Completion Date.</w:t>
      </w:r>
    </w:p>
    <w:p>
      <w:pPr>
        <w:pStyle w:val="BodyText"/>
        <w:rPr/>
      </w:pPr>
      <w:r>
        <w:rPr/>
      </w:r>
    </w:p>
    <w:p>
      <w:pPr>
        <w:pStyle w:val="Style1toc"/>
        <w:keepNext w:val="true"/>
        <w:rPr/>
      </w:pPr>
      <w:r>
        <w:rPr/>
        <w:t>ARTICLE 15</w:t>
      </w:r>
      <w:r>
        <w:fldChar w:fldCharType="begin"/>
      </w:r>
      <w:r>
        <w:rPr/>
        <w:instrText xml:space="preserve"> TC "ARTICLE 15: REPRESENTATIONS OF CONTRACTOR AND OWNER" \l 1 </w:instrText>
      </w:r>
      <w:r>
        <w:rPr/>
        <w:fldChar w:fldCharType="separate"/>
      </w:r>
      <w:r>
        <w:rPr/>
      </w:r>
      <w:r>
        <w:rPr/>
        <w:fldChar w:fldCharType="end"/>
      </w:r>
      <w:bookmarkStart w:id="104" w:name="__RefHeading___Toc482936897"/>
      <w:bookmarkEnd w:id="104"/>
    </w:p>
    <w:p>
      <w:pPr>
        <w:pStyle w:val="Style1toc"/>
        <w:keepNext w:val="true"/>
        <w:rPr/>
      </w:pPr>
      <w:r>
        <w:rPr/>
        <w:t>REPRESENTATIONS OF CONTRACTOR AND OWNER</w:t>
      </w:r>
    </w:p>
    <w:p>
      <w:pPr>
        <w:pStyle w:val="BodyText"/>
        <w:keepNext w:val="true"/>
        <w:rPr/>
      </w:pPr>
      <w:r>
        <w:rPr/>
      </w:r>
    </w:p>
    <w:p>
      <w:pPr>
        <w:pStyle w:val="BodyText"/>
        <w:keepNext w:val="true"/>
        <w:rPr/>
      </w:pPr>
      <w:r>
        <w:rPr/>
        <w:t>15.1</w:t>
        <w:tab/>
      </w:r>
      <w:r>
        <w:rPr>
          <w:u w:val="single"/>
        </w:rPr>
        <w:t>Contractor Representations</w:t>
      </w:r>
      <w:r>
        <w:fldChar w:fldCharType="begin"/>
      </w:r>
      <w:r>
        <w:rPr/>
        <w:instrText xml:space="preserve"> TC "15.1</w:instrText>
        <w:tab/>
        <w:instrText xml:space="preserve">Contractor Representations" \l 2 </w:instrText>
      </w:r>
      <w:r>
        <w:rPr/>
        <w:fldChar w:fldCharType="separate"/>
      </w:r>
      <w:r>
        <w:rPr/>
      </w:r>
      <w:r>
        <w:rPr/>
        <w:fldChar w:fldCharType="end"/>
      </w:r>
      <w:bookmarkStart w:id="105" w:name="__RefHeading___Toc482936898"/>
      <w:bookmarkEnd w:id="105"/>
      <w:r>
        <w:rPr/>
        <w:t>. Contractor represents and warrants that:</w:t>
      </w:r>
    </w:p>
    <w:p>
      <w:pPr>
        <w:pStyle w:val="BodyText"/>
        <w:keepNext w:val="true"/>
        <w:rPr/>
      </w:pPr>
      <w:r>
        <w:rPr/>
      </w:r>
    </w:p>
    <w:p>
      <w:pPr>
        <w:pStyle w:val="BodyText"/>
        <w:rPr/>
      </w:pPr>
      <w:r>
        <w:rPr/>
        <w:tab/>
        <w:t>15.1.1</w:t>
        <w:tab/>
      </w:r>
      <w:r>
        <w:rPr>
          <w:u w:val="single"/>
        </w:rPr>
        <w:t>Corporate Standing</w:t>
      </w:r>
      <w:r>
        <w:rPr/>
        <w:t>.  It is a corporation duly organized, validly existing, and in</w:t>
      </w:r>
      <w:r>
        <w:rPr>
          <w:b/>
        </w:rPr>
        <w:t xml:space="preserve"> </w:t>
      </w:r>
      <w:r>
        <w:rPr/>
        <w:t>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rPr/>
      </w:pPr>
      <w:r>
        <w:rPr/>
      </w:r>
    </w:p>
    <w:p>
      <w:pPr>
        <w:pStyle w:val="BodyText"/>
        <w:rPr/>
      </w:pPr>
      <w:r>
        <w:rPr/>
        <w:tab/>
        <w:t>15.1.2</w:t>
        <w:tab/>
      </w:r>
      <w:r>
        <w:rPr>
          <w:u w:val="single"/>
        </w:rPr>
        <w:t>No Violation of law; Litigation</w:t>
      </w:r>
      <w:r>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ability to perform all its obligations under this Agreement.</w:t>
      </w:r>
    </w:p>
    <w:p>
      <w:pPr>
        <w:pStyle w:val="BodyText"/>
        <w:rPr/>
      </w:pPr>
      <w:r>
        <w:rPr/>
      </w:r>
    </w:p>
    <w:p>
      <w:pPr>
        <w:pStyle w:val="BodyText"/>
        <w:rPr/>
      </w:pPr>
      <w:r>
        <w:rPr/>
        <w:tab/>
        <w:t>15.1.3</w:t>
        <w:tab/>
      </w:r>
      <w:r>
        <w:rPr>
          <w:u w:val="single"/>
        </w:rPr>
        <w:t>Governmental Authorizations</w:t>
      </w:r>
      <w:r>
        <w:rPr/>
        <w:t>.  It is (or will be prior to performing any Work on the Site) the holder of all Governmental Authorizations required to permit it to operate or conduct its business now and as contemplated by this Agreement.</w:t>
      </w:r>
    </w:p>
    <w:p>
      <w:pPr>
        <w:pStyle w:val="BodyText"/>
        <w:rPr/>
      </w:pPr>
      <w:r>
        <w:rPr/>
      </w:r>
    </w:p>
    <w:p>
      <w:pPr>
        <w:pStyle w:val="BodyText"/>
        <w:rPr/>
      </w:pPr>
      <w:r>
        <w:rPr/>
        <w:tab/>
        <w:t>15.1.4</w:t>
        <w:tab/>
      </w:r>
      <w:r>
        <w:rPr>
          <w:u w:val="single"/>
        </w:rPr>
        <w:t>No Breach</w:t>
      </w:r>
      <w:r>
        <w:rPr/>
        <w:t>.  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BodyText"/>
        <w:rPr/>
      </w:pPr>
      <w:r>
        <w:rPr/>
      </w:r>
    </w:p>
    <w:p>
      <w:pPr>
        <w:pStyle w:val="BodyText"/>
        <w:rPr/>
      </w:pPr>
      <w:r>
        <w:rPr/>
        <w:tab/>
        <w:t>15.1.5</w:t>
        <w:tab/>
      </w:r>
      <w:r>
        <w:rPr>
          <w:u w:val="single"/>
        </w:rPr>
        <w:t>Corporate Action</w:t>
      </w:r>
      <w:r>
        <w:rPr/>
        <w:t>.  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rPr/>
      </w:pPr>
      <w:r>
        <w:rPr/>
      </w:r>
    </w:p>
    <w:p>
      <w:pPr>
        <w:pStyle w:val="BodyText"/>
        <w:rPr/>
      </w:pPr>
      <w:r>
        <w:rPr/>
        <w:tab/>
        <w:t>15.1.6</w:t>
        <w:tab/>
      </w:r>
      <w:r>
        <w:rPr>
          <w:u w:val="single"/>
        </w:rPr>
        <w:t>Investigation</w:t>
      </w:r>
      <w:r>
        <w:rPr/>
        <w:t>.   Subject to the provisions set forth in Section 3.18 and the items disclosed on Exhibit B-2, it has: (i) full experience and proper qualifications to perform the Work, (ii) examined this Agreement and all exhibits and attachments hereto thoroughly and become familiar with their terms, and (iii) ascertained the nature and location of the Work, the general character and accessibility of the Site, the nature of the Site geotechnical and soil conditions, including underground obstructions, the existence of obstacles to construction, the location and character of existing or adjacent work or structures, and other general and local conditions and Laws (including labor Laws) which might affect its performance of the Work or the cost thereof and has performed such testing or examined the results of such testing as would normally be conducted by a contractor considering entering into an agreement such as this Agreement and taking into account the available time for such examination.</w:t>
      </w:r>
    </w:p>
    <w:p>
      <w:pPr>
        <w:pStyle w:val="BodyText"/>
        <w:rPr/>
      </w:pPr>
      <w:r>
        <w:rPr/>
      </w:r>
    </w:p>
    <w:p>
      <w:pPr>
        <w:pStyle w:val="Style2toc"/>
        <w:keepNext w:val="true"/>
        <w:rPr/>
      </w:pPr>
      <w:r>
        <w:rPr/>
        <w:t>15.2</w:t>
        <w:tab/>
      </w:r>
      <w:r>
        <w:rPr>
          <w:u w:val="single"/>
        </w:rPr>
        <w:t>Owner Representations</w:t>
      </w:r>
      <w:r>
        <w:fldChar w:fldCharType="begin"/>
      </w:r>
      <w:r>
        <w:rPr/>
        <w:instrText xml:space="preserve"> TC "15.2</w:instrText>
        <w:tab/>
        <w:instrText xml:space="preserve">Owner Representations" \l 2 </w:instrText>
      </w:r>
      <w:r>
        <w:rPr/>
        <w:fldChar w:fldCharType="separate"/>
      </w:r>
      <w:r>
        <w:rPr/>
      </w:r>
      <w:r>
        <w:rPr/>
        <w:fldChar w:fldCharType="end"/>
      </w:r>
      <w:bookmarkStart w:id="106" w:name="__RefHeading___Toc482936899"/>
      <w:bookmarkEnd w:id="106"/>
      <w:r>
        <w:rPr/>
        <w:t>. Owner represents and warrants that as of the date of this Agreement:</w:t>
      </w:r>
    </w:p>
    <w:p>
      <w:pPr>
        <w:pStyle w:val="BodyText"/>
        <w:keepNext w:val="true"/>
        <w:rPr/>
      </w:pPr>
      <w:r>
        <w:rPr/>
      </w:r>
    </w:p>
    <w:p>
      <w:pPr>
        <w:pStyle w:val="BodyText"/>
        <w:rPr/>
      </w:pPr>
      <w:r>
        <w:rPr/>
        <w:tab/>
        <w:t>15.2.1</w:t>
        <w:tab/>
      </w:r>
      <w:r>
        <w:rPr>
          <w:u w:val="single"/>
        </w:rPr>
        <w:t>Business Organization</w:t>
      </w:r>
      <w:r>
        <w:rPr/>
        <w:t>.  It is duly organized and validly existing under the laws of Mexico,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rPr/>
      </w:pPr>
      <w:r>
        <w:rPr/>
      </w:r>
    </w:p>
    <w:p>
      <w:pPr>
        <w:pStyle w:val="BodyText"/>
        <w:rPr/>
      </w:pPr>
      <w:r>
        <w:rPr/>
        <w:tab/>
        <w:t>15.2.2</w:t>
        <w:tab/>
      </w:r>
      <w:r>
        <w:rPr>
          <w:u w:val="single"/>
        </w:rPr>
        <w:t>No Violation of Law; Litigation</w:t>
      </w:r>
      <w:r>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the best knowledge of Owner) threatened against Owner which, if adversely determined, could reasonably be expected to have a material adverse effect on the financial condition, operations, prospects, or business, as a whole, of Owner, or its ability to perform all its obligations under this Agreement.</w:t>
      </w:r>
    </w:p>
    <w:p>
      <w:pPr>
        <w:pStyle w:val="BodyText"/>
        <w:rPr/>
      </w:pPr>
      <w:r>
        <w:rPr/>
      </w:r>
    </w:p>
    <w:p>
      <w:pPr>
        <w:pStyle w:val="BodyText"/>
        <w:rPr/>
      </w:pPr>
      <w:r>
        <w:rPr/>
        <w:tab/>
        <w:t>15.2.3</w:t>
        <w:tab/>
      </w:r>
      <w:r>
        <w:rPr>
          <w:u w:val="single"/>
        </w:rPr>
        <w:t>Governmental Authorizations</w:t>
      </w:r>
      <w:r>
        <w:rPr/>
        <w:t>.  It is the holder of all Governmental Authorizations required to permit it to enter into and perform its obligations under this Agreement.</w:t>
      </w:r>
    </w:p>
    <w:p>
      <w:pPr>
        <w:pStyle w:val="BodyText"/>
        <w:rPr/>
      </w:pPr>
      <w:r>
        <w:rPr/>
      </w:r>
    </w:p>
    <w:p>
      <w:pPr>
        <w:pStyle w:val="BodyText"/>
        <w:rPr/>
      </w:pPr>
      <w:r>
        <w:rPr/>
        <w:tab/>
        <w:t>15.2.4</w:t>
        <w:tab/>
      </w:r>
      <w:r>
        <w:rPr>
          <w:u w:val="single"/>
        </w:rPr>
        <w:t>No Breach</w:t>
      </w:r>
      <w:r>
        <w:rPr/>
        <w:t>.  None of the execution and delivery of this Agreement, the consummation of the transactions herein contemplated or compliance with the terms and provisions hereof and thereof will conflict with or result in a breach of, or require any consent under, the charter or bylaws of Owner, or any applicable Law, or any agreement or instrument to which Owner is a party or by which it is bound or to which it or its assets are subject, or constitute a default under any such agreement or instrument.</w:t>
      </w:r>
    </w:p>
    <w:p>
      <w:pPr>
        <w:pStyle w:val="BodyText"/>
        <w:rPr/>
      </w:pPr>
      <w:r>
        <w:rPr/>
      </w:r>
    </w:p>
    <w:p>
      <w:pPr>
        <w:pStyle w:val="BodyText"/>
        <w:rPr/>
      </w:pPr>
      <w:r>
        <w:rPr/>
        <w:tab/>
        <w:t>15.2.5</w:t>
        <w:tab/>
      </w:r>
      <w:r>
        <w:rPr>
          <w:u w:val="single"/>
        </w:rPr>
        <w:t>Corporate Action</w:t>
      </w:r>
      <w:r>
        <w:rPr/>
        <w:t>.  It has all necessary power and authority to execute, deliver and perform its obligations under this Agreement; and the execution, delivery, and performance by Owner of this Agreement has been duly authorized by all necessary action on its part; and this Agreement has been duly and validly executed and delivered by Owner and constitutes the legal, valid, and binding obligation of Owner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rPr/>
      </w:pPr>
      <w:r>
        <w:rPr/>
      </w:r>
    </w:p>
    <w:p>
      <w:pPr>
        <w:pStyle w:val="Style1toc"/>
        <w:keepNext w:val="true"/>
        <w:rPr/>
      </w:pPr>
      <w:r>
        <w:rPr/>
        <w:t>ARTICLE 16</w:t>
      </w:r>
      <w:r>
        <w:fldChar w:fldCharType="begin"/>
      </w:r>
      <w:r>
        <w:rPr/>
        <w:instrText xml:space="preserve"> TC "ARTICLE 16: DEFAULT, TERMINATION AND SUSPENSION " \l 1 </w:instrText>
      </w:r>
      <w:r>
        <w:rPr/>
        <w:fldChar w:fldCharType="separate"/>
      </w:r>
      <w:r>
        <w:rPr/>
      </w:r>
      <w:r>
        <w:rPr/>
        <w:fldChar w:fldCharType="end"/>
      </w:r>
      <w:bookmarkStart w:id="107" w:name="__RefHeading___Toc482936900"/>
      <w:bookmarkEnd w:id="107"/>
    </w:p>
    <w:p>
      <w:pPr>
        <w:pStyle w:val="Style1toc"/>
        <w:keepNext w:val="true"/>
        <w:rPr/>
      </w:pPr>
      <w:r>
        <w:rPr/>
        <w:t>DEFAULT, TERMINATION AND SUSPENSION</w:t>
      </w:r>
    </w:p>
    <w:p>
      <w:pPr>
        <w:pStyle w:val="BodyText"/>
        <w:keepNext w:val="true"/>
        <w:rPr/>
      </w:pPr>
      <w:r>
        <w:rPr/>
      </w:r>
    </w:p>
    <w:p>
      <w:pPr>
        <w:pStyle w:val="Style2toc"/>
        <w:keepNext w:val="true"/>
        <w:rPr/>
      </w:pPr>
      <w:r>
        <w:rPr/>
        <w:t>16.1</w:t>
        <w:tab/>
      </w:r>
      <w:r>
        <w:rPr>
          <w:u w:val="single"/>
        </w:rPr>
        <w:t>Default by Contractor</w:t>
      </w:r>
      <w:r>
        <w:fldChar w:fldCharType="begin"/>
      </w:r>
      <w:r>
        <w:rPr/>
        <w:instrText xml:space="preserve"> TC "16.1</w:instrText>
        <w:tab/>
        <w:instrText xml:space="preserve">Default by Contractor" \l 2 </w:instrText>
      </w:r>
      <w:r>
        <w:rPr/>
        <w:fldChar w:fldCharType="separate"/>
      </w:r>
      <w:r>
        <w:rPr/>
      </w:r>
      <w:r>
        <w:rPr/>
        <w:fldChar w:fldCharType="end"/>
      </w:r>
      <w:bookmarkStart w:id="108" w:name="__RefHeading___Toc482936901"/>
      <w:bookmarkEnd w:id="108"/>
      <w:r>
        <w:rPr/>
        <w:t>.</w:t>
      </w:r>
    </w:p>
    <w:p>
      <w:pPr>
        <w:pStyle w:val="BodyText"/>
        <w:keepNext w:val="true"/>
        <w:rPr/>
      </w:pPr>
      <w:r>
        <w:rPr/>
      </w:r>
    </w:p>
    <w:p>
      <w:pPr>
        <w:pStyle w:val="BodyText"/>
        <w:rPr/>
      </w:pPr>
      <w:r>
        <w:rPr/>
        <w:tab/>
        <w:t>16.1.1</w:t>
        <w:tab/>
      </w:r>
      <w:r>
        <w:rPr>
          <w:u w:val="single"/>
        </w:rPr>
        <w:t>Termination for Inability to Perform</w:t>
      </w:r>
      <w:r>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Owner may terminate this Agreement effective immediately upon giving written notice of such termination to Contractor.  Any such termination shall be without prejudice to any existing rights, powers, or remedies of either Party under this Agreement.</w:t>
      </w:r>
    </w:p>
    <w:p>
      <w:pPr>
        <w:pStyle w:val="BodyText"/>
        <w:rPr/>
      </w:pPr>
      <w:r>
        <w:rPr/>
      </w:r>
    </w:p>
    <w:p>
      <w:pPr>
        <w:pStyle w:val="BodyText"/>
        <w:keepNext w:val="true"/>
        <w:rPr/>
      </w:pPr>
      <w:r>
        <w:rPr/>
        <w:tab/>
        <w:t>16.1.2</w:t>
        <w:tab/>
      </w:r>
      <w:r>
        <w:rPr>
          <w:u w:val="single"/>
        </w:rPr>
        <w:t>Termination for Contractor’s Failure to Perform</w:t>
      </w:r>
      <w:r>
        <w:rPr/>
        <w:t>.  If:</w:t>
      </w:r>
    </w:p>
    <w:p>
      <w:pPr>
        <w:pStyle w:val="BodyText"/>
        <w:keepNext w:val="true"/>
        <w:rPr/>
      </w:pPr>
      <w:r>
        <w:rPr/>
      </w:r>
    </w:p>
    <w:p>
      <w:pPr>
        <w:pStyle w:val="BodyTextIndent2"/>
        <w:rPr/>
      </w:pPr>
      <w:r>
        <w:rPr/>
        <w:t>16.1.2.1 any material representation or warranty of Contractor shall have been incorrect as of the date made;</w:t>
      </w:r>
    </w:p>
    <w:p>
      <w:pPr>
        <w:pStyle w:val="BodyText"/>
        <w:rPr/>
      </w:pPr>
      <w:r>
        <w:rPr/>
      </w:r>
    </w:p>
    <w:p>
      <w:pPr>
        <w:pStyle w:val="BodyTextIndent2"/>
        <w:rPr/>
      </w:pPr>
      <w:r>
        <w:rPr/>
        <w:t>16.1.2.2 Contractor fails to make prompt payment of undisputed invoices due to any Subcontractor or otherwise repudiates or is in default with respect to any of its material obligations to any Subcontractor having a Subcontract in excess of $1,000,000;</w:t>
      </w:r>
    </w:p>
    <w:p>
      <w:pPr>
        <w:pStyle w:val="BodyText"/>
        <w:rPr/>
      </w:pPr>
      <w:r>
        <w:rPr/>
      </w:r>
    </w:p>
    <w:p>
      <w:pPr>
        <w:pStyle w:val="BodyTextIndent2"/>
        <w:rPr/>
      </w:pPr>
      <w:r>
        <w:rPr/>
        <w:t>16.1.2.3 Contractor fails to correct any defective Work in accordance with the provisions of Section 3.14.2 or Article 12;</w:t>
      </w:r>
    </w:p>
    <w:p>
      <w:pPr>
        <w:pStyle w:val="BodyText"/>
        <w:rPr/>
      </w:pPr>
      <w:r>
        <w:rPr/>
      </w:r>
    </w:p>
    <w:p>
      <w:pPr>
        <w:pStyle w:val="BodyTextIndent2"/>
        <w:rPr/>
      </w:pPr>
      <w:r>
        <w:rPr/>
        <w:t>16.1.2.4 Contractor makes a purported assignment of this Agreement in violation of the terms of Section 22.3;</w:t>
      </w:r>
    </w:p>
    <w:p>
      <w:pPr>
        <w:pStyle w:val="BodyText"/>
        <w:rPr/>
      </w:pPr>
      <w:r>
        <w:rPr/>
      </w:r>
    </w:p>
    <w:p>
      <w:pPr>
        <w:pStyle w:val="BodyTextIndent2"/>
        <w:rPr/>
      </w:pPr>
      <w:r>
        <w:rPr/>
        <w:t>16.1.2.5 Contractor fails to perform any of its material covenants or agreements contained in this Agreement;</w:t>
      </w:r>
    </w:p>
    <w:p>
      <w:pPr>
        <w:pStyle w:val="BodyText"/>
        <w:rPr/>
      </w:pPr>
      <w:r>
        <w:rPr/>
      </w:r>
    </w:p>
    <w:p>
      <w:pPr>
        <w:pStyle w:val="BodyTextIndent2"/>
        <w:rPr/>
      </w:pPr>
      <w:r>
        <w:rPr/>
        <w:t>16.1.2.6 any Security is repudiated or shall for any reason cease to be valid, binding, and enforceable or there is a default under any Security;</w:t>
      </w:r>
    </w:p>
    <w:p>
      <w:pPr>
        <w:pStyle w:val="BodyText"/>
        <w:rPr/>
      </w:pPr>
      <w:r>
        <w:rPr/>
      </w:r>
    </w:p>
    <w:p>
      <w:pPr>
        <w:pStyle w:val="BodyTextIndent2"/>
        <w:rPr/>
      </w:pPr>
      <w:r>
        <w:rPr/>
        <w:t>16.1.2.7 Contractor disregards any Laws or Governmental Authorizations and such action could materially adversely affect Contractor’s ability to perform its obligations under this Agreement or Contractor persistently disregards any Laws or Governmental Authorizations;</w:t>
      </w:r>
    </w:p>
    <w:p>
      <w:pPr>
        <w:pStyle w:val="BodyText"/>
        <w:rPr/>
      </w:pPr>
      <w:r>
        <w:rPr/>
      </w:r>
    </w:p>
    <w:p>
      <w:pPr>
        <w:pStyle w:val="BodyTextIndent2"/>
        <w:rPr/>
      </w:pPr>
      <w:r>
        <w:rPr/>
        <w:t>16.1.2.8 Contractor fails to pay Delay Liquidated Damages, Performance Liquidated Damages or any other amounts payable by Contractor under this Agreement when due;</w:t>
      </w:r>
    </w:p>
    <w:p>
      <w:pPr>
        <w:pStyle w:val="BodyText"/>
        <w:rPr/>
      </w:pPr>
      <w:r>
        <w:rPr/>
      </w:r>
    </w:p>
    <w:p>
      <w:pPr>
        <w:pStyle w:val="BodyTextIndent2"/>
        <w:rPr/>
      </w:pPr>
      <w:r>
        <w:rPr/>
        <w:t>16.1.2.9 Contractor refuses or fails, except in cases for which an extension of time is provided, to supply sufficient properly skilled workmen or proper materials to complete the Work at a rate that gives reasonable assurance to Owner that Contractor can attain Provisional Acceptance within 120 days after the Guaranteed Completion Date;</w:t>
      </w:r>
    </w:p>
    <w:p>
      <w:pPr>
        <w:pStyle w:val="BodyText"/>
        <w:rPr/>
      </w:pPr>
      <w:r>
        <w:rPr/>
      </w:r>
    </w:p>
    <w:p>
      <w:pPr>
        <w:pStyle w:val="BodyTextIndent2"/>
        <w:rPr/>
      </w:pPr>
      <w:r>
        <w:rPr/>
        <w:t xml:space="preserve">16.1.2.10 Contractor fails to begin the appropriate Work within 15 days of the Notice to Proceed Effective Date;  </w:t>
      </w:r>
    </w:p>
    <w:p>
      <w:pPr>
        <w:pStyle w:val="BodyTextIndent3"/>
        <w:rPr/>
      </w:pPr>
      <w:r>
        <w:rPr/>
      </w:r>
    </w:p>
    <w:p>
      <w:pPr>
        <w:pStyle w:val="BodyTextIndent2"/>
        <w:rPr/>
      </w:pPr>
      <w:r>
        <w:rPr/>
        <w:t>16.1.2.11 Contractor abandons the construction of the Facility; or</w:t>
      </w:r>
    </w:p>
    <w:p>
      <w:pPr>
        <w:pStyle w:val="BodyTextIndent2"/>
        <w:rPr/>
      </w:pPr>
      <w:r>
        <w:rPr/>
      </w:r>
    </w:p>
    <w:p>
      <w:pPr>
        <w:pStyle w:val="BodyTextIndent2"/>
        <w:rPr/>
      </w:pPr>
      <w:r>
        <w:rPr/>
        <w:t>16.1.2.12 Provisional Acceptance is not achieved within 365 days after the Guaranteed Completion Date.</w:t>
      </w:r>
    </w:p>
    <w:p>
      <w:pPr>
        <w:pStyle w:val="BodyText"/>
        <w:rPr/>
      </w:pPr>
      <w:r>
        <w:rPr/>
      </w:r>
    </w:p>
    <w:p>
      <w:pPr>
        <w:pStyle w:val="BodyText"/>
        <w:rPr/>
      </w:pPr>
      <w:r>
        <w:rPr/>
        <w:t>then, in the case of Sections 16.1.2.1, 16.1.2.4, 16,1.2.9, 16.1.2.11, or 16.1.2.12 Owner may immediately terminate this Agreement, in any other case, if Contractor fails to correct such condition within fifteen (15) days in the case of any such default involving the payment of money or provision of security pursuant to Article 21 or, in the case of default not involving the payment of money or provision of security pursuant to Article 21, within thirty (30) days of receipt of written notice from Owner stating the nature of the default and requiring Contractor to remedy the same, provided, that if such default is not capable of being remedied within thirty (30) days, so long as Contractor promptly commenced the remedy and diligently pursues such remedy the Contractor shall have up to forty-five (45) days after receipt of such written notice to complete the remedy.  Immediately upon expiration of the applicable cure period Owner may terminate this Agreement.  Any such termination shall be without prejudice to any existing rights, powers, or remedies of either party under this Agreement.</w:t>
      </w:r>
    </w:p>
    <w:p>
      <w:pPr>
        <w:pStyle w:val="BodyText"/>
        <w:rPr/>
      </w:pPr>
      <w:r>
        <w:rPr/>
      </w:r>
    </w:p>
    <w:p>
      <w:pPr>
        <w:pStyle w:val="BodyText"/>
        <w:rPr/>
      </w:pPr>
      <w:r>
        <w:rPr/>
        <w:tab/>
        <w:t>16.1.3</w:t>
        <w:tab/>
      </w:r>
      <w:r>
        <w:rPr>
          <w:u w:val="single"/>
        </w:rPr>
        <w:t>Owner’s Rights</w:t>
      </w:r>
      <w:r>
        <w:rPr/>
        <w:t>.  If Owner elects to terminate this Agreement pursuant to this Section 16.1, then Owner may employ any other Person (the “Replacement Contractor”) to finish the Work in accordance with the terms of this Agreement and all Subcontracts (subject to all obligations under such Subcontracts) as may be assigned to any Replacement Contractor pursuant to Section 16.1.4.4 by whatever method that Owner may deem expedient.  Owner shall be required to mitigate reasonably the cost of such completion of the Work but may make such expenditures as in Owner’s sole judgement will best accomplish the timely completion of the Facility, provided Owner shall not be required or expected to mitigate any such costs by terminating, repudiating, or renegotiating any Subcontract.  Contractor, if so requested by Owner, shall provide Owner, any Replacement Contractor or Lender, at Contractor’s expense, with the right to continue to use any and all patented and/or proprietary information that Contractor has rights to use, if any (subject to reasonable proprietary restrictions), which Owner deems necessary to complete the Facility.  Upon such termination, Contractor shall not be entitled to receive any further payments under this Agreement except for payments for Work performed in accordance with the terms of this Agreement prior to such termination.</w:t>
      </w:r>
    </w:p>
    <w:p>
      <w:pPr>
        <w:pStyle w:val="BodyText"/>
        <w:rPr/>
      </w:pPr>
      <w:r>
        <w:rPr/>
      </w:r>
    </w:p>
    <w:p>
      <w:pPr>
        <w:pStyle w:val="BodyText"/>
        <w:rPr/>
      </w:pPr>
      <w:r>
        <w:rPr/>
        <w:tab/>
        <w:t>16.1.4</w:t>
        <w:tab/>
      </w:r>
      <w:r>
        <w:rPr>
          <w:u w:val="single"/>
        </w:rPr>
        <w:t>General Obligations</w:t>
      </w:r>
      <w:r>
        <w:rPr/>
        <w:t>. If Owner elects to terminate this Agreement pursuant to this Section 16.1, then Contractor shall, at Owner’s request and at Contractor’s expense, perform the following services relative to the Work so affected:</w:t>
      </w:r>
    </w:p>
    <w:p>
      <w:pPr>
        <w:pStyle w:val="BodyText"/>
        <w:rPr/>
      </w:pPr>
      <w:r>
        <w:rPr/>
      </w:r>
    </w:p>
    <w:p>
      <w:pPr>
        <w:pStyle w:val="BodyTextIndent2"/>
        <w:rPr/>
      </w:pPr>
      <w:r>
        <w:rPr/>
        <w:t>16.1.4.1 cease all further Work, except such Work as Owner may specify in the termination notice</w:t>
      </w:r>
      <w:r>
        <w:rPr>
          <w:b/>
        </w:rPr>
        <w:t xml:space="preserve"> </w:t>
      </w:r>
      <w:r>
        <w:rPr/>
        <w:t>for the sole purpose of protecting that part of the Work already executed;</w:t>
      </w:r>
    </w:p>
    <w:p>
      <w:pPr>
        <w:pStyle w:val="BodyText"/>
        <w:rPr/>
      </w:pPr>
      <w:r>
        <w:rPr/>
      </w:r>
    </w:p>
    <w:p>
      <w:pPr>
        <w:pStyle w:val="BodyTextIndent2"/>
        <w:rPr/>
      </w:pPr>
      <w:r>
        <w:rPr/>
        <w:t>16.1.4.2 assist Owner in preparing an inventory of all Equipment in use or in storage at the Site;</w:t>
      </w:r>
    </w:p>
    <w:p>
      <w:pPr>
        <w:pStyle w:val="BodyText"/>
        <w:rPr/>
      </w:pPr>
      <w:r>
        <w:rPr/>
      </w:r>
    </w:p>
    <w:p>
      <w:pPr>
        <w:pStyle w:val="BodyTextIndent2"/>
        <w:rPr/>
      </w:pPr>
      <w:r>
        <w:rPr/>
        <w:t>16.1.4.3 terminate all Subcontracts, except those to be assigned to Owner pursuant to Section 16.1.4.4;</w:t>
      </w:r>
    </w:p>
    <w:p>
      <w:pPr>
        <w:pStyle w:val="BodyText"/>
        <w:rPr/>
      </w:pPr>
      <w:r>
        <w:rPr/>
      </w:r>
    </w:p>
    <w:p>
      <w:pPr>
        <w:pStyle w:val="BodyTextIndent2"/>
        <w:rPr/>
      </w:pPr>
      <w:r>
        <w:rPr/>
        <w:t>16.1.4.4 assign to Owner, or to any Replacement Contractor designated by Owner or Lender, without any right to compensation, title to all Work not already owned by Owner, together with all Subcontracts and other contractual agreements (including warranties) as may be designated by Owner, and assign to Owner to the extent assignable all issued Governmental Authorizations, patents and other proprietary rights, if any, then held by Contractor pertaining to the Facility;</w:t>
      </w:r>
    </w:p>
    <w:p>
      <w:pPr>
        <w:pStyle w:val="BodyText"/>
        <w:rPr/>
      </w:pPr>
      <w:r>
        <w:rPr/>
      </w:r>
    </w:p>
    <w:p>
      <w:pPr>
        <w:pStyle w:val="BodyTextIndent2"/>
        <w:rPr/>
      </w:pPr>
      <w:r>
        <w:rPr/>
        <w:t>16.1.4.5 remove from the Site Contractor’s Equipment and rubbish as Owner may request;</w:t>
      </w:r>
    </w:p>
    <w:p>
      <w:pPr>
        <w:pStyle w:val="BodyText"/>
        <w:rPr/>
      </w:pPr>
      <w:r>
        <w:rPr/>
      </w:r>
    </w:p>
    <w:p>
      <w:pPr>
        <w:pStyle w:val="BodyTextIndent2"/>
        <w:rPr/>
      </w:pPr>
      <w:r>
        <w:rPr/>
        <w:t>16.1.4.6 deliver to Owner all design and other information as may be reasonably requested by Owner for the completion and operation of the Facility; and</w:t>
      </w:r>
    </w:p>
    <w:p>
      <w:pPr>
        <w:pStyle w:val="BodyText"/>
        <w:rPr/>
      </w:pPr>
      <w:r>
        <w:rPr/>
      </w:r>
    </w:p>
    <w:p>
      <w:pPr>
        <w:pStyle w:val="BodyTextIndent2"/>
        <w:rPr/>
      </w:pPr>
      <w:r>
        <w:rPr/>
        <w:t>16.1.4.7 supply any proprietary components needed for the completion and operation of the Facility that are not available from other Persons on reasonable terms.</w:t>
      </w:r>
    </w:p>
    <w:p>
      <w:pPr>
        <w:pStyle w:val="BodyText"/>
        <w:rPr/>
      </w:pPr>
      <w:r>
        <w:rPr/>
      </w:r>
    </w:p>
    <w:p>
      <w:pPr>
        <w:pStyle w:val="BodyText"/>
        <w:rPr/>
      </w:pPr>
      <w:r>
        <w:rPr/>
        <w:tab/>
        <w:t>16.1.5</w:t>
        <w:tab/>
      </w:r>
      <w:r>
        <w:rPr>
          <w:u w:val="single"/>
        </w:rPr>
        <w:t>Payment Obligations</w:t>
      </w:r>
      <w:r>
        <w:rPr/>
        <w:t>.  If Owner terminates this Agreement pursuant to this Section 16.1, as soon as reasonably practicable after reaching the equivalent of Final Completion, Owner shall determine the total reasonable and necessary expenses incurred or accrued by Owner in connection with the termination of this Agreement (including all legal fees and expenses) and the completion of the Work, including all amounts charged by any Replacement Contractor to finish the Work based on the obligations such Replacement Contractor assumes under this Agreement (including the assumption by such Replacement Contractor of Contractor’s obligations hereunder to pay Delay Liquidated Damages) and under any of Contractor’s Subcontracts or other contractual agreement(s) that Owner elects to have assigned to such Replacement Contractor pursuant to Section 16.1.4.4., and additional reasonable and necessary overhead incurred and accrued by Owner to effect such takeover and to complete the Work (collectively, the “Cost to Complete Facility”). If the Cost to Complete Facility exceeds the balance of the Contract Price (the “Balance of Contract Price”) unpaid at the time of Contractor’s default, then Owner shall be fully released from all obligations to pay the Balance of Contract Price, and Contractor shall be liable for and shall pay to Owner upon written demand by Owner the amount of such excess.  Any such amount payable by Contractor may be deducted by Owner from any amounts due to Contractor under this Agreement.  If the Cost to Complete Facility is less than the Balance of Contract Price, then Contractor shall be entitled to be paid any unpaid portion of the Contract Price attributable to the Work executed by Contractor prior to the date of termination, the value of any unused or partially used materials on the Site furnished by Contractor which are taken over by Owner and have not already been paid for as part of the Contract Price paid to Contractor, and the costs, if any, incurred by Contractor in protecting the Work pursuant to Section 16.1.4.1 (collectively, the “Termination Amount”) subject to the limitation that the Termination Amount shall not under any circumstance exceed the amount by which the Balance of Contract Price is greater than the Cost to Complete Facility.  Any sums due to Owner from Contractor shall be immediately due and payable upon termination and Owner shall have the right to deduct such amounts from any payments Owner is obligated to make to the Contractor under this Agreement.</w:t>
      </w:r>
    </w:p>
    <w:p>
      <w:pPr>
        <w:pStyle w:val="BodyText"/>
        <w:rPr/>
      </w:pPr>
      <w:r>
        <w:rPr/>
      </w:r>
    </w:p>
    <w:p>
      <w:pPr>
        <w:pStyle w:val="Style2toc"/>
        <w:keepNext w:val="true"/>
        <w:rPr/>
      </w:pPr>
      <w:r>
        <w:rPr/>
        <w:t>16.2</w:t>
        <w:tab/>
      </w:r>
      <w:r>
        <w:rPr>
          <w:u w:val="single"/>
        </w:rPr>
        <w:t>Optional Cancellation by Owner</w:t>
      </w:r>
      <w:r>
        <w:fldChar w:fldCharType="begin"/>
      </w:r>
      <w:r>
        <w:rPr/>
        <w:instrText xml:space="preserve"> TC "16.2</w:instrText>
        <w:tab/>
        <w:instrText xml:space="preserve">Optional Cancellation by Owner" \l 2 </w:instrText>
      </w:r>
      <w:r>
        <w:rPr/>
        <w:fldChar w:fldCharType="separate"/>
      </w:r>
      <w:r>
        <w:rPr/>
      </w:r>
      <w:r>
        <w:rPr/>
        <w:fldChar w:fldCharType="end"/>
      </w:r>
      <w:bookmarkStart w:id="109" w:name="__RefHeading___Toc482936902"/>
      <w:bookmarkEnd w:id="109"/>
      <w:r>
        <w:rPr/>
        <w:t>.</w:t>
      </w:r>
    </w:p>
    <w:p>
      <w:pPr>
        <w:pStyle w:val="BodyText"/>
        <w:keepNext w:val="true"/>
        <w:rPr/>
      </w:pPr>
      <w:r>
        <w:rPr/>
      </w:r>
    </w:p>
    <w:p>
      <w:pPr>
        <w:pStyle w:val="BodyText"/>
        <w:rPr/>
      </w:pPr>
      <w:r>
        <w:rPr/>
        <w:tab/>
        <w:t>16.2.1</w:t>
        <w:tab/>
      </w:r>
      <w:r>
        <w:rPr>
          <w:u w:val="single"/>
        </w:rPr>
        <w:t>Rights</w:t>
      </w:r>
      <w:r>
        <w:rPr/>
        <w:t>.</w:t>
        <w:tab/>
        <w:t>Owner may cancel this Agreement at any time by written notice to Contractor.  Upon receipt of any such notice, Contractor shall, unless the notice directs otherwise:</w:t>
      </w:r>
    </w:p>
    <w:p>
      <w:pPr>
        <w:pStyle w:val="BodyText"/>
        <w:rPr/>
      </w:pPr>
      <w:r>
        <w:rPr/>
      </w:r>
    </w:p>
    <w:p>
      <w:pPr>
        <w:pStyle w:val="BodyTextIndent2"/>
        <w:rPr/>
      </w:pPr>
      <w:r>
        <w:rPr/>
        <w:t>16.2.1.1 immediately discontinue the Work on the date and to the extent specified in such notice;</w:t>
      </w:r>
    </w:p>
    <w:p>
      <w:pPr>
        <w:pStyle w:val="BodyText"/>
        <w:rPr/>
      </w:pPr>
      <w:r>
        <w:rPr/>
      </w:r>
    </w:p>
    <w:p>
      <w:pPr>
        <w:pStyle w:val="BodyTextIndent2"/>
        <w:rPr/>
      </w:pPr>
      <w:r>
        <w:rPr/>
        <w:t>16.2.1.2 place no further orders or enter into no additional Subcontracts for Equipment and/or Work;</w:t>
      </w:r>
    </w:p>
    <w:p>
      <w:pPr>
        <w:pStyle w:val="BodyText"/>
        <w:rPr/>
      </w:pPr>
      <w:r>
        <w:rPr/>
      </w:r>
    </w:p>
    <w:p>
      <w:pPr>
        <w:pStyle w:val="BodyTextIndent2"/>
        <w:rPr/>
      </w:pPr>
      <w:r>
        <w:rPr/>
        <w:t>16.2.1.3 promptly make every reasonable effort to procure cancellation upon terms satisfactory to Owner of all orders, Subcontracts, and rental agreements;</w:t>
      </w:r>
    </w:p>
    <w:p>
      <w:pPr>
        <w:pStyle w:val="BodyText"/>
        <w:rPr/>
      </w:pPr>
      <w:r>
        <w:rPr/>
      </w:r>
    </w:p>
    <w:p>
      <w:pPr>
        <w:pStyle w:val="BodyTextIndent2"/>
        <w:rPr/>
      </w:pPr>
      <w:r>
        <w:rPr/>
        <w:t>16.2.1.4 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w:t>
      </w:r>
    </w:p>
    <w:p>
      <w:pPr>
        <w:pStyle w:val="BodyText"/>
        <w:rPr/>
      </w:pPr>
      <w:r>
        <w:rPr/>
      </w:r>
    </w:p>
    <w:p>
      <w:pPr>
        <w:pStyle w:val="BodyTextIndent2"/>
        <w:rPr/>
      </w:pPr>
      <w:r>
        <w:rPr/>
        <w:t>16.2.1.5 thereafter execute only that portion of the Work directed by Owner as may be necessary to preserve and protect Work already in progress and to protect Equipment at the Site or in transit thereto.</w:t>
      </w:r>
    </w:p>
    <w:p>
      <w:pPr>
        <w:pStyle w:val="BodyText"/>
        <w:rPr/>
      </w:pPr>
      <w:r>
        <w:rPr/>
      </w:r>
    </w:p>
    <w:p>
      <w:pPr>
        <w:pStyle w:val="BodyText"/>
        <w:rPr/>
      </w:pPr>
      <w:r>
        <w:rPr/>
        <w:tab/>
        <w:t>16.2.2</w:t>
        <w:tab/>
      </w:r>
      <w:r>
        <w:rPr>
          <w:u w:val="single"/>
        </w:rPr>
        <w:t>Deemed Cancellation</w:t>
      </w:r>
      <w:r>
        <w:rPr/>
        <w:t>. If Owner fails to issue the Notice to Proceed within one year from the Effective Date, then Owner shall be deemed to have cancelled this Agreement.  In the event of a deemed cancellation under this Section 16.2.2, Contractor shall act in accordance with and Sections 16.2.1.1 through 16.2.1.5 and the remedy set out in 16.2.3.1 shall apply.</w:t>
      </w:r>
    </w:p>
    <w:p>
      <w:pPr>
        <w:pStyle w:val="BodyText"/>
        <w:rPr/>
      </w:pPr>
      <w:r>
        <w:rPr/>
      </w:r>
    </w:p>
    <w:p>
      <w:pPr>
        <w:pStyle w:val="BodyText"/>
        <w:rPr/>
      </w:pPr>
      <w:r>
        <w:rPr/>
        <w:tab/>
        <w:t>16.2.3</w:t>
        <w:tab/>
      </w:r>
      <w:r>
        <w:rPr>
          <w:u w:val="single"/>
        </w:rPr>
        <w:t>Remedies</w:t>
      </w:r>
      <w:r>
        <w:rPr/>
        <w:t>. Contractor waives any claims for consequential damages, including loss of anticipated profits for uncompleted Work, on account of a termination by Owner pursuant to this Section 16.2 and shall accept as its sole remedy the following:</w:t>
      </w:r>
    </w:p>
    <w:p>
      <w:pPr>
        <w:pStyle w:val="BodyText"/>
        <w:rPr/>
      </w:pPr>
      <w:r>
        <w:rPr/>
      </w:r>
    </w:p>
    <w:p>
      <w:pPr>
        <w:pStyle w:val="BodyTextIndent2"/>
        <w:rPr/>
      </w:pPr>
      <w:r>
        <w:rPr/>
        <w:t>16.2.3.1 In the event that Owner cancels this Agreement in accordance with Section 16.2 after delivery of the Notice to Proceed but prior to the Notice to Proceed Effective Date, Owner shall only be liable for actual costs incurred by the Contractor attributable to the Work properly performed by Contractor and its Subcontractors as of the effective date of cancellation, reimbursement for any Subcontractor termination costs; and any other out-of-pocket expenses reasonably incurred by Contractor as a result of such cancellation which, in the circumstances, cannot reasonably be avoided by Contractor and are a direct result of such termination (collectively the “Termination Expenses”).</w:t>
      </w:r>
    </w:p>
    <w:p>
      <w:pPr>
        <w:pStyle w:val="BodyText"/>
        <w:rPr/>
      </w:pPr>
      <w:r>
        <w:rPr/>
      </w:r>
    </w:p>
    <w:p>
      <w:pPr>
        <w:pStyle w:val="BodyTextIndent2"/>
        <w:rPr/>
      </w:pPr>
      <w:r>
        <w:rPr/>
        <w:t xml:space="preserve">16.2.3.2 If such cancellation occurs after the Notice to Proceed Effective Date, then Contractor shall be entitled to receive the lesser of (a) the applicable amount set forth in Exhibit C-6 Cancellation Fees or (b) the Termination Expenses plus a payment equal to ten percent (10%) of the expenses incurred by Contractor for the Work.  </w:t>
      </w:r>
    </w:p>
    <w:p>
      <w:pPr>
        <w:pStyle w:val="BodyText"/>
        <w:rPr/>
      </w:pPr>
      <w:r>
        <w:rPr/>
      </w:r>
    </w:p>
    <w:p>
      <w:pPr>
        <w:pStyle w:val="BodyTextIndent2"/>
        <w:rPr/>
      </w:pPr>
      <w:r>
        <w:rPr/>
        <w:t>16.2.3.3 Contractor shall use reasonable efforts to minimize Termination Expenses and any other costs of cancellation.  Upon termination Owner shall have the option of having all or any Work delivered to the Site or, at Owner’s expense, to such other place as Owner shall</w:t>
      </w:r>
      <w:r>
        <w:rPr>
          <w:b/>
        </w:rPr>
        <w:t xml:space="preserve"> </w:t>
      </w:r>
      <w:r>
        <w:rPr/>
        <w:t>reasonably direct.  Payments for cancellation under Section 16 shall be due Contractor within fifteen (15) days of Owner’s receipt and acceptance of a substantiated, itemized invoice and the delivery of any such Work.</w:t>
      </w:r>
    </w:p>
    <w:p>
      <w:pPr>
        <w:pStyle w:val="BodyText"/>
        <w:rPr/>
      </w:pPr>
      <w:r>
        <w:rPr/>
      </w:r>
    </w:p>
    <w:p>
      <w:pPr>
        <w:pStyle w:val="Style2toc"/>
        <w:keepNext w:val="true"/>
        <w:rPr/>
      </w:pPr>
      <w:r>
        <w:rPr/>
        <w:t>16.3</w:t>
        <w:tab/>
      </w:r>
      <w:r>
        <w:rPr>
          <w:u w:val="single"/>
        </w:rPr>
        <w:t>Termination by Contractor</w:t>
      </w:r>
      <w:r>
        <w:fldChar w:fldCharType="begin"/>
      </w:r>
      <w:r>
        <w:rPr/>
        <w:instrText xml:space="preserve"> TC "16.3</w:instrText>
        <w:tab/>
        <w:instrText xml:space="preserve">Termination by Contractor" \l 2 </w:instrText>
      </w:r>
      <w:r>
        <w:rPr/>
        <w:fldChar w:fldCharType="separate"/>
      </w:r>
      <w:r>
        <w:rPr/>
      </w:r>
      <w:r>
        <w:rPr/>
        <w:fldChar w:fldCharType="end"/>
      </w:r>
      <w:bookmarkStart w:id="110" w:name="__RefHeading___Toc482936903"/>
      <w:bookmarkEnd w:id="110"/>
      <w:r>
        <w:rPr/>
        <w:t>.</w:t>
      </w:r>
    </w:p>
    <w:p>
      <w:pPr>
        <w:pStyle w:val="BodyText"/>
        <w:keepNext w:val="true"/>
        <w:rPr/>
      </w:pPr>
      <w:r>
        <w:rPr/>
      </w:r>
    </w:p>
    <w:p>
      <w:pPr>
        <w:pStyle w:val="BodyText"/>
        <w:rPr/>
      </w:pPr>
      <w:r>
        <w:rPr/>
        <w:tab/>
        <w:t>16.3.1</w:t>
        <w:tab/>
      </w:r>
      <w:r>
        <w:rPr>
          <w:u w:val="single"/>
        </w:rPr>
        <w:t>Termination for Owner’s Inability to Perform</w:t>
      </w:r>
      <w:r>
        <w:rPr/>
        <w:t>.  If any proceeding is instituted against Owner seeking to adjudicate Owner as a bankrupt or insolvent and such proceeding is not dismissed within sixty (60)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adjustment of debts, or if Owner admits in writing its inability to pay its debts when due, Contractor may terminate this Agreement effective immediately upon giving written notice of such termination to Owner.</w:t>
      </w:r>
    </w:p>
    <w:p>
      <w:pPr>
        <w:pStyle w:val="BodyText"/>
        <w:rPr>
          <w:u w:val="single"/>
        </w:rPr>
      </w:pPr>
      <w:r>
        <w:rPr>
          <w:u w:val="single"/>
        </w:rPr>
      </w:r>
    </w:p>
    <w:p>
      <w:pPr>
        <w:pStyle w:val="BodyText"/>
        <w:keepNext w:val="true"/>
        <w:rPr/>
      </w:pPr>
      <w:r>
        <w:rPr/>
        <w:tab/>
        <w:t>16.3.2</w:t>
        <w:tab/>
      </w:r>
      <w:r>
        <w:rPr>
          <w:u w:val="single"/>
        </w:rPr>
        <w:t>Termination for Owner’s Failure to Perform</w:t>
      </w:r>
      <w:r>
        <w:rPr/>
        <w:t>.  If:</w:t>
      </w:r>
    </w:p>
    <w:p>
      <w:pPr>
        <w:pStyle w:val="BodyText"/>
        <w:keepNext w:val="true"/>
        <w:rPr/>
      </w:pPr>
      <w:r>
        <w:rPr/>
      </w:r>
    </w:p>
    <w:p>
      <w:pPr>
        <w:pStyle w:val="BodyTextIndent2"/>
        <w:rPr/>
      </w:pPr>
      <w:r>
        <w:rPr/>
        <w:t>16.3.2.1 Owner fails to pay Contractor any undisputed amount due under any invoice within thirty (30) days after the amount became payable;</w:t>
      </w:r>
    </w:p>
    <w:p>
      <w:pPr>
        <w:pStyle w:val="BodyText"/>
        <w:rPr/>
      </w:pPr>
      <w:r>
        <w:rPr/>
      </w:r>
    </w:p>
    <w:p>
      <w:pPr>
        <w:pStyle w:val="BodyTextIndent2"/>
        <w:rPr/>
      </w:pPr>
      <w:r>
        <w:rPr/>
        <w:t>16.3.2.2 Owner fails to observe or perform any of its material covenants or agreements contained in this Agreement;</w:t>
      </w:r>
    </w:p>
    <w:p>
      <w:pPr>
        <w:pStyle w:val="BodyTextIndent3"/>
        <w:rPr/>
      </w:pPr>
      <w:r>
        <w:rPr/>
      </w:r>
    </w:p>
    <w:p>
      <w:pPr>
        <w:pStyle w:val="BodyTextIndent2"/>
        <w:rPr>
          <w:b/>
        </w:rPr>
      </w:pPr>
      <w:r>
        <w:rPr/>
        <w:t>16.3.2.3 the Work is suspended for more than six (6) consecutive months or twelve (12) months pursuant to Section 16.4 or as a result of Force Majeure; or</w:t>
      </w:r>
    </w:p>
    <w:p>
      <w:pPr>
        <w:pStyle w:val="BodyTextIndent3"/>
        <w:rPr>
          <w:b/>
        </w:rPr>
      </w:pPr>
      <w:r>
        <w:rPr>
          <w:b/>
        </w:rPr>
      </w:r>
    </w:p>
    <w:p>
      <w:pPr>
        <w:pStyle w:val="BodyTextIndent2"/>
        <w:rPr/>
      </w:pPr>
      <w:r>
        <w:rPr/>
        <w:t>16.3.2.4 any material representation or warranty of Owner shall have been incorrect as of the date made.</w:t>
      </w:r>
    </w:p>
    <w:p>
      <w:pPr>
        <w:pStyle w:val="BodyText"/>
        <w:rPr/>
      </w:pPr>
      <w:r>
        <w:rPr/>
      </w:r>
    </w:p>
    <w:p>
      <w:pPr>
        <w:pStyle w:val="BodyText"/>
        <w:rPr/>
      </w:pPr>
      <w:r>
        <w:rPr/>
        <w:t xml:space="preserve">then, in any such case, if Owner fails to correct such condition with thirty (30) days of receipt of written notice from Contractor stating the nature of the condition and requiring Owner to remedy the same provided, that if such default is not capable of being remedied within thirty (30) days, so long as Owner promptly commences the remedy and diligently pursues such remedy the Owner shall have up to forty-five (45) days after receipt of such written notice to complete the remedy.  Immediately upon expiration of the applicable cure period Contractor may terminate this Agreement.  Any such termination shall be without prejudice to any existing rights, powers, or remedies of either party under this Agreement.  Except as otherwise expressly provided in this Agreement, the Contractor’s sole and exclusive remedies for any default shall be termination of this Agreement and monetary damages. </w:t>
      </w:r>
    </w:p>
    <w:p>
      <w:pPr>
        <w:pStyle w:val="BodyText"/>
        <w:rPr/>
      </w:pPr>
      <w:r>
        <w:rPr/>
      </w:r>
    </w:p>
    <w:p>
      <w:pPr>
        <w:pStyle w:val="BodyText"/>
        <w:rPr/>
      </w:pPr>
      <w:r>
        <w:rPr/>
        <w:tab/>
        <w:t xml:space="preserve">16.3.3  </w:t>
      </w:r>
      <w:r>
        <w:rPr>
          <w:u w:val="single"/>
        </w:rPr>
        <w:t>Payment on Termination by Contractor</w:t>
      </w:r>
      <w:r>
        <w:rPr/>
        <w:t>.  If this Agreement is terminated under Section 16.3.1 or 16.3.2, Contractor shall be entitled to payment on the same basis as if the carrying out of the Work had been cancelled under Section 16.2 provided that in no event shall the aggregate sum of all payments received by Contractor exceed the Contract Price.</w:t>
      </w:r>
    </w:p>
    <w:p>
      <w:pPr>
        <w:pStyle w:val="BodyText"/>
        <w:rPr/>
      </w:pPr>
      <w:r>
        <w:rPr/>
      </w:r>
    </w:p>
    <w:p>
      <w:pPr>
        <w:pStyle w:val="Style2toc"/>
        <w:keepNext w:val="true"/>
        <w:rPr/>
      </w:pPr>
      <w:r>
        <w:rPr/>
        <w:t>16.4</w:t>
        <w:tab/>
      </w:r>
      <w:r>
        <w:rPr>
          <w:u w:val="single"/>
        </w:rPr>
        <w:t>Suspension of Work</w:t>
      </w:r>
      <w:r>
        <w:fldChar w:fldCharType="begin"/>
      </w:r>
      <w:r>
        <w:rPr/>
        <w:instrText xml:space="preserve"> TC "16.4</w:instrText>
        <w:tab/>
        <w:instrText xml:space="preserve">Suspension of Work" \l 2 </w:instrText>
      </w:r>
      <w:r>
        <w:rPr/>
        <w:fldChar w:fldCharType="separate"/>
      </w:r>
      <w:r>
        <w:rPr/>
      </w:r>
      <w:r>
        <w:rPr/>
        <w:fldChar w:fldCharType="end"/>
      </w:r>
      <w:bookmarkStart w:id="111" w:name="__RefHeading___Toc482936904"/>
      <w:bookmarkEnd w:id="111"/>
      <w:r>
        <w:rPr/>
        <w:t>.</w:t>
      </w:r>
    </w:p>
    <w:p>
      <w:pPr>
        <w:pStyle w:val="BodyText"/>
        <w:keepNext w:val="true"/>
        <w:rPr/>
      </w:pPr>
      <w:r>
        <w:rPr/>
      </w:r>
    </w:p>
    <w:p>
      <w:pPr>
        <w:pStyle w:val="BodyText"/>
        <w:keepNext w:val="true"/>
        <w:rPr/>
      </w:pPr>
      <w:r>
        <w:rPr/>
        <w:tab/>
        <w:t>16.4.1</w:t>
        <w:tab/>
      </w:r>
      <w:r>
        <w:rPr>
          <w:u w:val="single"/>
        </w:rPr>
        <w:t>Suspension of Work by Owner</w:t>
      </w:r>
      <w:r>
        <w:rPr/>
        <w:t>.</w:t>
      </w:r>
    </w:p>
    <w:p>
      <w:pPr>
        <w:pStyle w:val="BodyText"/>
        <w:keepNext w:val="true"/>
        <w:rPr/>
      </w:pPr>
      <w:r>
        <w:rPr/>
      </w:r>
    </w:p>
    <w:p>
      <w:pPr>
        <w:pStyle w:val="BodyTextIndent2"/>
        <w:rPr/>
      </w:pPr>
      <w:r>
        <w:rPr/>
        <w:t>16.4.1.1</w:t>
        <w:tab/>
        <w:t>Owner may, at any time and from time to time and for any reason, by written notice to Contractor, suspend the carrying out of the Work or any part thereof.  Contractor shall, on such written notice of Owner, suspend the carrying out of the Work or any part thereof for such time and in such manner as Owner may require and shall during any such suspension properly protect and secure the Work in such manner as Owner shall reasonably require.  Unless otherwise instructed by Owner, Contractor shall during any such suspension maintain its staff and labor on or near the Site ready to proceed with the Work upon receipt of Owner’s further instructions.</w:t>
      </w:r>
    </w:p>
    <w:p>
      <w:pPr>
        <w:pStyle w:val="BodyTextIndent3"/>
        <w:rPr/>
      </w:pPr>
      <w:r>
        <w:rPr/>
      </w:r>
    </w:p>
    <w:p>
      <w:pPr>
        <w:pStyle w:val="BodyTextIndent2"/>
        <w:rPr/>
      </w:pPr>
      <w:r>
        <w:rPr/>
        <w:t>16.4.1.2</w:t>
        <w:tab/>
        <w:t>Owner may at any time following a suspension give notice to Contractor to proceed with the Work previously suspended.</w:t>
      </w:r>
    </w:p>
    <w:p>
      <w:pPr>
        <w:pStyle w:val="BodyTextIndent3"/>
        <w:rPr/>
      </w:pPr>
      <w:r>
        <w:rPr/>
      </w:r>
    </w:p>
    <w:p>
      <w:pPr>
        <w:pStyle w:val="BodyTextIndent2"/>
        <w:rPr/>
      </w:pPr>
      <w:r>
        <w:rPr/>
        <w:t>16.4.1.3</w:t>
        <w:tab/>
        <w:t>Upon receipt of any such notice to proceed, Contractor shall examine the Equipment delivered to Contractor affected by the suspension and shall, at Owner’s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BodyTextIndent3"/>
        <w:rPr/>
      </w:pPr>
      <w:r>
        <w:rPr/>
      </w:r>
    </w:p>
    <w:p>
      <w:pPr>
        <w:pStyle w:val="BodyText"/>
        <w:keepNext w:val="true"/>
        <w:rPr/>
      </w:pPr>
      <w:r>
        <w:rPr/>
        <w:tab/>
        <w:t>16.4.2</w:t>
        <w:tab/>
      </w:r>
      <w:r>
        <w:rPr>
          <w:u w:val="single"/>
        </w:rPr>
        <w:t>Suspension of Work by Contractor</w:t>
      </w:r>
      <w:r>
        <w:rPr/>
        <w:t>.</w:t>
      </w:r>
    </w:p>
    <w:p>
      <w:pPr>
        <w:pStyle w:val="BodyText"/>
        <w:keepNext w:val="true"/>
        <w:rPr/>
      </w:pPr>
      <w:r>
        <w:rPr/>
      </w:r>
    </w:p>
    <w:p>
      <w:pPr>
        <w:pStyle w:val="BodyTextIndent2"/>
        <w:rPr/>
      </w:pPr>
      <w:r>
        <w:rPr/>
        <w:t>16.4.2.1</w:t>
        <w:tab/>
        <w:t>Contractor may, by giving fifteen (15) days notice in writing to Owner, suspend the carrying out of the Work or any part thereof if Owner fails to pay Contractor any undisputed amount due under any invoice within thirty (30) days after the amount becomes payable under this Agreement, unless prior to the end of the fifteen (15) days notice period Owner has paid the overdue amount.  During any such suspension Contractor shall properly protect and secure the Work in such manner as Owner shall require.  Unless otherwise instructed by Owner, Contractor shall during any such suspension maintain its staff and labor on or near the Site ready to proceed with the Work immediately upon receipt of the overdue amount.</w:t>
      </w:r>
    </w:p>
    <w:p>
      <w:pPr>
        <w:pStyle w:val="BodyTextIndent3"/>
        <w:rPr/>
      </w:pPr>
      <w:r>
        <w:rPr/>
      </w:r>
    </w:p>
    <w:p>
      <w:pPr>
        <w:pStyle w:val="BodyTextIndent2"/>
        <w:rPr/>
      </w:pPr>
      <w:r>
        <w:rPr/>
        <w:t>16.4.2.2</w:t>
        <w:tab/>
        <w:t>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BodyTextIndent2"/>
        <w:rPr/>
      </w:pPr>
      <w:r>
        <w:rPr/>
      </w:r>
    </w:p>
    <w:p>
      <w:pPr>
        <w:pStyle w:val="BodyText"/>
        <w:rPr/>
      </w:pPr>
      <w:r>
        <w:rPr/>
        <w:tab/>
        <w:t>16.4.3</w:t>
        <w:tab/>
      </w:r>
      <w:r>
        <w:rPr>
          <w:u w:val="single"/>
        </w:rPr>
        <w:t>Adjustment and Compensation for Suspension</w:t>
      </w:r>
      <w:r>
        <w:rPr/>
        <w:t>.  In the event of a suspension of the Work pursuant to this Section 16.4, Contractor shall be entitled to a Change Order for reimbursement, on a monthly basis, in accordance with the invoicing and payment provisions set forth in Section 7.2, for all actual, direct, out-of-pocket costs plus Contractor’s personnel costs (verified to Owner’s reasonable satisfaction) which are reasonably incurred by Contractor as a result of such suspension and any increase in cost or delays resulting from such suspension.  In the event of a suspension pursuant to Section 16.4. that extends for more than 7 days, Contractor shall be entitled to a Change Order which, in addition to providing for reimbursement for costs incurred, also provides for a reasonable extension to the Project Schedule in respect of any delay suffered by reason of the suspension.</w:t>
      </w:r>
    </w:p>
    <w:p>
      <w:pPr>
        <w:pStyle w:val="BodyText"/>
        <w:rPr/>
      </w:pPr>
      <w:r>
        <w:rPr/>
      </w:r>
    </w:p>
    <w:p>
      <w:pPr>
        <w:pStyle w:val="Style1toc"/>
        <w:keepNext w:val="true"/>
        <w:rPr/>
      </w:pPr>
      <w:r>
        <w:rPr/>
        <w:t>ARTICLE 17</w:t>
      </w:r>
      <w:r>
        <w:fldChar w:fldCharType="begin"/>
      </w:r>
      <w:r>
        <w:rPr/>
        <w:instrText xml:space="preserve"> TC "ARTICLE 17:  FORCE MAJEURE" \l 1 </w:instrText>
      </w:r>
      <w:r>
        <w:rPr/>
        <w:fldChar w:fldCharType="separate"/>
      </w:r>
      <w:r>
        <w:rPr/>
      </w:r>
      <w:r>
        <w:rPr/>
        <w:fldChar w:fldCharType="end"/>
      </w:r>
      <w:bookmarkStart w:id="112" w:name="__RefHeading___Toc482936905"/>
      <w:bookmarkEnd w:id="112"/>
    </w:p>
    <w:p>
      <w:pPr>
        <w:pStyle w:val="Style1toc"/>
        <w:keepNext w:val="true"/>
        <w:rPr/>
      </w:pPr>
      <w:r>
        <w:rPr/>
        <w:t>FORCE MAJEURE</w:t>
      </w:r>
    </w:p>
    <w:p>
      <w:pPr>
        <w:pStyle w:val="BodyText"/>
        <w:keepNext w:val="true"/>
        <w:rPr/>
      </w:pPr>
      <w:r>
        <w:rPr/>
      </w:r>
    </w:p>
    <w:p>
      <w:pPr>
        <w:pStyle w:val="BodyText"/>
        <w:rPr/>
      </w:pPr>
      <w:r>
        <w:rPr/>
        <w:t>17.1</w:t>
        <w:tab/>
      </w:r>
      <w:r>
        <w:rPr>
          <w:u w:val="single"/>
        </w:rPr>
        <w:t>Excused Performance</w:t>
      </w:r>
      <w:r>
        <w:fldChar w:fldCharType="begin"/>
      </w:r>
      <w:r>
        <w:rPr/>
        <w:instrText xml:space="preserve"> TC "17.1</w:instrText>
        <w:tab/>
        <w:instrText xml:space="preserve">Excused Performance" \l 2 </w:instrText>
      </w:r>
      <w:r>
        <w:rPr/>
        <w:fldChar w:fldCharType="separate"/>
      </w:r>
      <w:r>
        <w:rPr/>
      </w:r>
      <w:r>
        <w:rPr/>
        <w:fldChar w:fldCharType="end"/>
      </w:r>
      <w:bookmarkStart w:id="113" w:name="__RefHeading___Toc482936906"/>
      <w:bookmarkEnd w:id="113"/>
      <w:r>
        <w:rPr/>
        <w:t>. Each Party shall be excused from performance and shall not be considered to be in default with respect to any obligation hereunder, except the obligation to pay money in a timely manner, if and to the extent that its failure of, or delay in, performance is due to an event of Force Majeure, provided, that:</w:t>
      </w:r>
    </w:p>
    <w:p>
      <w:pPr>
        <w:pStyle w:val="BodyText"/>
        <w:rPr/>
      </w:pPr>
      <w:r>
        <w:rPr/>
      </w:r>
    </w:p>
    <w:p>
      <w:pPr>
        <w:pStyle w:val="BodyText"/>
        <w:rPr/>
      </w:pPr>
      <w:r>
        <w:rPr/>
        <w:tab/>
        <w:t>17.1.1</w:t>
        <w:tab/>
        <w:t>such Party gives the other Party written notice describing the particulars of the Force Majeure as soon as is reasonably practicable but in no event later than ten (10) Business Days after the Party first becomes aware of the occurrence or commencement of such event;</w:t>
      </w:r>
    </w:p>
    <w:p>
      <w:pPr>
        <w:pStyle w:val="BodyText"/>
        <w:rPr/>
      </w:pPr>
      <w:r>
        <w:rPr/>
      </w:r>
    </w:p>
    <w:p>
      <w:pPr>
        <w:pStyle w:val="BodyText"/>
        <w:rPr/>
      </w:pPr>
      <w:r>
        <w:rPr/>
        <w:tab/>
        <w:t>17.1.2</w:t>
        <w:tab/>
        <w:t>the suspension of performance is of no greater scope and of no longer duration than is reasonably required by the Force Majeure;</w:t>
      </w:r>
    </w:p>
    <w:p>
      <w:pPr>
        <w:pStyle w:val="BodyText"/>
        <w:rPr/>
      </w:pPr>
      <w:r>
        <w:rPr/>
      </w:r>
    </w:p>
    <w:p>
      <w:pPr>
        <w:pStyle w:val="BodyText"/>
        <w:rPr/>
      </w:pPr>
      <w:r>
        <w:rPr/>
        <w:tab/>
        <w:t>17.1.3</w:t>
        <w:tab/>
        <w:t>no obligations of the affected Party which arose before the occurrence causing the suspension of performance that remain unaffected by the Force Majeure are excused as a result of the occurrence;</w:t>
      </w:r>
    </w:p>
    <w:p>
      <w:pPr>
        <w:pStyle w:val="BodyText"/>
        <w:rPr/>
      </w:pPr>
      <w:r>
        <w:rPr/>
      </w:r>
    </w:p>
    <w:p>
      <w:pPr>
        <w:pStyle w:val="BodyText"/>
        <w:rPr/>
      </w:pPr>
      <w:r>
        <w:rPr/>
        <w:tab/>
        <w:t>17.1.4</w:t>
        <w:tab/>
        <w:t>the affected Party uses reasonable efforts to overcome or mitigate the effects of such occurrence; and</w:t>
      </w:r>
    </w:p>
    <w:p>
      <w:pPr>
        <w:pStyle w:val="BodyText"/>
        <w:rPr/>
      </w:pPr>
      <w:r>
        <w:rPr/>
      </w:r>
    </w:p>
    <w:p>
      <w:pPr>
        <w:pStyle w:val="BodyText"/>
        <w:rPr/>
      </w:pPr>
      <w:r>
        <w:rPr/>
        <w:tab/>
        <w:t>17.1.5</w:t>
        <w:tab/>
        <w:t>when the affected Party is able to resume performance of its obligations under this Agreement, such party shall give the other Party written notice to that effect and shall promptly resume performance hereunder.</w:t>
      </w:r>
    </w:p>
    <w:p>
      <w:pPr>
        <w:pStyle w:val="BodyText"/>
        <w:rPr/>
      </w:pPr>
      <w:r>
        <w:rPr/>
      </w:r>
    </w:p>
    <w:p>
      <w:pPr>
        <w:pStyle w:val="BodyText"/>
        <w:rPr/>
      </w:pPr>
      <w:r>
        <w:rPr/>
        <w:t>17.2</w:t>
        <w:tab/>
      </w:r>
      <w:r>
        <w:rPr>
          <w:u w:val="single"/>
        </w:rPr>
        <w:t>Burden of Proof</w:t>
      </w:r>
      <w:r>
        <w:fldChar w:fldCharType="begin"/>
      </w:r>
      <w:r>
        <w:rPr/>
        <w:instrText xml:space="preserve"> TC "17.2</w:instrText>
        <w:tab/>
        <w:instrText xml:space="preserve">Burden of Proof" \l 2 </w:instrText>
      </w:r>
      <w:r>
        <w:rPr/>
        <w:fldChar w:fldCharType="separate"/>
      </w:r>
      <w:r>
        <w:rPr/>
      </w:r>
      <w:r>
        <w:rPr/>
        <w:fldChar w:fldCharType="end"/>
      </w:r>
      <w:bookmarkStart w:id="114" w:name="__RefHeading___Toc482936907"/>
      <w:bookmarkEnd w:id="114"/>
      <w:r>
        <w:rPr/>
        <w:t>. In the event that the Parties are unable in good faith to agree that an event of Force Majeure has occurred, the Parties shall submit the dispute for resolution pursuant to Article 19 and the Party claiming a Force Majeure shall have the burden of proof as to whether such Force Majeure (a) has occurred, (b) was not a result of such Party’s or its Subcontractor’s fault or negligence and (c) could not have been avoided by due diligence or the use of reasonable efforts by such Party or its Subcontractors.</w:t>
      </w:r>
    </w:p>
    <w:p>
      <w:pPr>
        <w:pStyle w:val="BodyText"/>
        <w:rPr/>
      </w:pPr>
      <w:r>
        <w:rPr/>
      </w:r>
    </w:p>
    <w:p>
      <w:pPr>
        <w:pStyle w:val="BodyText"/>
        <w:rPr/>
      </w:pPr>
      <w:r>
        <w:rPr/>
        <w:t>17.3</w:t>
        <w:tab/>
      </w:r>
      <w:r>
        <w:rPr>
          <w:u w:val="single"/>
        </w:rPr>
        <w:t>Owner Self-Help</w:t>
      </w:r>
      <w:r>
        <w:fldChar w:fldCharType="begin"/>
      </w:r>
      <w:r>
        <w:rPr/>
        <w:instrText xml:space="preserve"> TC "17.3</w:instrText>
        <w:tab/>
        <w:instrText xml:space="preserve">Owner Self-Help" \l 2 </w:instrText>
      </w:r>
      <w:r>
        <w:rPr/>
        <w:fldChar w:fldCharType="separate"/>
      </w:r>
      <w:r>
        <w:rPr/>
      </w:r>
      <w:r>
        <w:rPr/>
        <w:fldChar w:fldCharType="end"/>
      </w:r>
      <w:bookmarkStart w:id="115" w:name="__RefHeading___Toc482936908"/>
      <w:bookmarkEnd w:id="115"/>
      <w:r>
        <w:rPr/>
        <w:t>. If, within a reasonable time after an event of Force Majeure has occurred that has caused Contractor to suspend or delay performance of the Work, reasonable action that Contractor could lawfully and reasonably initiate to remove or relieve either the Force Majeure or its direct or indirect effects has been identified and recommended to Contractor by Owner, and Contractor has failed to take such action, then Owner may, in its sole discretion and after three (3) days’ written notice to Contractor, at Contractor’s expense, initiate such reasonable measures as will be designed to remove or relieve such Force Majeure or its direct or indirect effects, and thereafter require Contractor to resume full or partial performance of the Work in accordance with the provisions of this Agreement.</w:t>
      </w:r>
    </w:p>
    <w:p>
      <w:pPr>
        <w:pStyle w:val="BodyText"/>
        <w:rPr/>
      </w:pPr>
      <w:r>
        <w:rPr/>
      </w:r>
    </w:p>
    <w:p>
      <w:pPr>
        <w:pStyle w:val="Style1toc"/>
        <w:keepNext w:val="true"/>
        <w:rPr/>
      </w:pPr>
      <w:r>
        <w:rPr/>
        <w:t>ARTICLE 18</w:t>
      </w:r>
      <w:r>
        <w:fldChar w:fldCharType="begin"/>
      </w:r>
      <w:r>
        <w:rPr/>
        <w:instrText xml:space="preserve"> TC "ARTICLE 18:  INDEMNITIES" \l 1 </w:instrText>
      </w:r>
      <w:r>
        <w:rPr/>
        <w:fldChar w:fldCharType="separate"/>
      </w:r>
      <w:r>
        <w:rPr/>
      </w:r>
      <w:r>
        <w:rPr/>
        <w:fldChar w:fldCharType="end"/>
      </w:r>
      <w:bookmarkStart w:id="116" w:name="__RefHeading___Toc482936909"/>
      <w:bookmarkEnd w:id="116"/>
    </w:p>
    <w:p>
      <w:pPr>
        <w:pStyle w:val="Style1toc"/>
        <w:keepNext w:val="true"/>
        <w:rPr/>
      </w:pPr>
      <w:r>
        <w:rPr/>
        <w:t>INDEMNITIES</w:t>
      </w:r>
    </w:p>
    <w:p>
      <w:pPr>
        <w:pStyle w:val="BodyText"/>
        <w:keepNext w:val="true"/>
        <w:rPr/>
      </w:pPr>
      <w:r>
        <w:rPr/>
      </w:r>
    </w:p>
    <w:p>
      <w:pPr>
        <w:pStyle w:val="BodyText"/>
        <w:rPr/>
      </w:pPr>
      <w:r>
        <w:rPr/>
        <w:t>18.1</w:t>
        <w:tab/>
      </w:r>
      <w:r>
        <w:rPr>
          <w:u w:val="single"/>
        </w:rPr>
        <w:t>Contractor Indemnity</w:t>
      </w:r>
      <w:r>
        <w:fldChar w:fldCharType="begin"/>
      </w:r>
      <w:r>
        <w:rPr/>
        <w:instrText xml:space="preserve"> TC "18.1</w:instrText>
        <w:tab/>
        <w:instrText xml:space="preserve">Contractor Indemnity" \l 2 </w:instrText>
      </w:r>
      <w:r>
        <w:rPr/>
        <w:fldChar w:fldCharType="separate"/>
      </w:r>
      <w:r>
        <w:rPr/>
      </w:r>
      <w:r>
        <w:rPr/>
        <w:fldChar w:fldCharType="end"/>
      </w:r>
      <w:bookmarkStart w:id="117" w:name="__RefHeading___Toc482936910"/>
      <w:bookmarkEnd w:id="117"/>
      <w:r>
        <w:rPr/>
        <w:t>. Contractor, on behalf of itself, its Affiliates, successors, assigns, officers, directors, employees, Subcontractors, and agents (each a “Contractor Indemnitor”), agrees to indemnify, defend, and hold harmless Owner Indemnitees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action or failure to act of any Contractor Indemnitor (regardless of whether such claims or losses arise under negligence, gross negligence, willful misconduct, strict liability, or other cause of action or cause), or (b) attributable to any bodily injury (including death) or property damage (including property of Contractor or Owner) caused by any spill or release of Hazardous Substances by any Contractor Indemnitor or a breach of Section 3.18.2 by Contractor, its Subcontractors or any of their respective agents.</w:t>
      </w:r>
    </w:p>
    <w:p>
      <w:pPr>
        <w:pStyle w:val="BodyText"/>
        <w:rPr/>
      </w:pPr>
      <w:r>
        <w:rPr/>
      </w:r>
    </w:p>
    <w:p>
      <w:pPr>
        <w:pStyle w:val="BodyText"/>
        <w:rPr/>
      </w:pPr>
      <w:r>
        <w:rPr/>
        <w:t>18.2</w:t>
        <w:tab/>
      </w:r>
      <w:r>
        <w:rPr>
          <w:u w:val="single"/>
        </w:rPr>
        <w:t>Owner Indemnity</w:t>
      </w:r>
      <w:r>
        <w:fldChar w:fldCharType="begin"/>
      </w:r>
      <w:r>
        <w:rPr/>
        <w:instrText xml:space="preserve"> TC "18.2</w:instrText>
        <w:tab/>
        <w:instrText xml:space="preserve">Owner Indemnity" \l 2 </w:instrText>
      </w:r>
      <w:r>
        <w:rPr/>
        <w:fldChar w:fldCharType="separate"/>
      </w:r>
      <w:r>
        <w:rPr/>
      </w:r>
      <w:r>
        <w:rPr/>
        <w:fldChar w:fldCharType="end"/>
      </w:r>
      <w:bookmarkStart w:id="118" w:name="__RefHeading___Toc482936911"/>
      <w:bookmarkEnd w:id="118"/>
      <w:r>
        <w:rPr/>
        <w:t>. Owner, on behalf of itself, its Affiliates, successors, assigns, officers, directors, employees, and agents (each an “Owner Indemnitor”), agrees to indemnify, defend, and hold harmless Contractor, its Affiliates, successors, assigns, officers, directors, employees, Subcontractors and agents,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an Owner Indemnitor, or (b) attributable to bodily injury (including death) or property damage (including property of Contractor or Owner) caused by any Hazardous Substances existing at the Site on the Effective Date, except to the extent of any such injury or damage resulting from any action or inaction of any Contractor Indemnitor in connection with the performance of its obligations under Section 3.18.</w:t>
      </w:r>
    </w:p>
    <w:p>
      <w:pPr>
        <w:pStyle w:val="BodyText"/>
        <w:rPr/>
      </w:pPr>
      <w:r>
        <w:rPr/>
      </w:r>
    </w:p>
    <w:p>
      <w:pPr>
        <w:pStyle w:val="BodyText"/>
        <w:rPr/>
      </w:pPr>
      <w:r>
        <w:rPr/>
        <w:t>18.3</w:t>
        <w:tab/>
      </w:r>
      <w:r>
        <w:rPr>
          <w:u w:val="single"/>
        </w:rPr>
        <w:t>Intellectual Property Indemnity</w:t>
      </w:r>
      <w:r>
        <w:fldChar w:fldCharType="begin"/>
      </w:r>
      <w:r>
        <w:rPr/>
        <w:instrText xml:space="preserve"> TC "18.3</w:instrText>
        <w:tab/>
        <w:instrText xml:space="preserve">Intellectual Property Indemnity" \l 2 </w:instrText>
      </w:r>
      <w:r>
        <w:rPr/>
        <w:fldChar w:fldCharType="separate"/>
      </w:r>
      <w:r>
        <w:rPr/>
      </w:r>
      <w:r>
        <w:rPr/>
        <w:fldChar w:fldCharType="end"/>
      </w:r>
      <w:bookmarkStart w:id="119" w:name="__RefHeading___Toc482936912"/>
      <w:bookmarkEnd w:id="119"/>
      <w:r>
        <w:rPr/>
        <w:t xml:space="preserve">. Contractor expressly warrants and represents that it shall indemnify, defend, hold harmless, and save Owner, Lender, and each of their respective Affiliates, successors, assigns, officers, directors, employees, and agents harmless from and against any and all claims whatsoever arising from or in any manner related to an infringement of intellectual property rights and patents or the improper use of other proprietary rights which may occur in connection with Contractor’s or any Subcontractor’s performance of the Work pursuant to this Agreement and the ownership or use of the Facility or any part thereof provided by Contractor or any Subcontractor (including, without limitation, the use of any such part in conjunction with, or as modified, supplemented, or otherwise affected by, any Equipment); provided that Contractor shall have no indemnity obligations hereunder with respect to any claim arising out of (i) use of Equipment in combination with devices or products not supplied by Contractor or any of its respective Subcontractors or  (ii) use of Equipment in an application or environment for which they were not designed.  Should any such claim materially impair Contractor’s performance of the Work or continued operations of the Facility, then Contractor shall, at its own expense, timely procure the right to continue its performance of the Work so as not to materially impair the Project Schedule or the continued operations of the Facility. </w:t>
      </w:r>
    </w:p>
    <w:p>
      <w:pPr>
        <w:pStyle w:val="BodyText"/>
        <w:rPr/>
      </w:pPr>
      <w:r>
        <w:rPr/>
      </w:r>
    </w:p>
    <w:p>
      <w:pPr>
        <w:pStyle w:val="BodyText"/>
        <w:rPr/>
      </w:pPr>
      <w:r>
        <w:rPr/>
        <w:t>18.4</w:t>
        <w:tab/>
      </w:r>
      <w:r>
        <w:rPr>
          <w:u w:val="single"/>
        </w:rPr>
        <w:t>Notice</w:t>
      </w:r>
      <w:r>
        <w:fldChar w:fldCharType="begin"/>
      </w:r>
      <w:r>
        <w:rPr/>
        <w:instrText xml:space="preserve"> TC "18.4</w:instrText>
        <w:tab/>
        <w:instrText xml:space="preserve">Notice" \l 2 </w:instrText>
      </w:r>
      <w:r>
        <w:rPr/>
        <w:fldChar w:fldCharType="separate"/>
      </w:r>
      <w:r>
        <w:rPr/>
      </w:r>
      <w:r>
        <w:rPr/>
        <w:fldChar w:fldCharType="end"/>
      </w:r>
      <w:bookmarkStart w:id="120" w:name="__RefHeading___Toc482936913"/>
      <w:bookmarkEnd w:id="120"/>
      <w:r>
        <w:rPr/>
        <w:t>. Each party shall promptly notify the other in writing of any claims from any third party, which may be covered by the indemnities set forth in this Article 18.  Without limiting the generality of the foregoing, Owner shall notify Contractor in writing of any claims of infringement of patents or other proprietary rights occurring in connection with Contractor’s performance of the Work and Contractor shall timely notify Owner in writing of any claims which Contractor may receive alleging infringement of patents or other proprietary rights which may affect Contractor’s performance of the Work.</w:t>
      </w:r>
    </w:p>
    <w:p>
      <w:pPr>
        <w:pStyle w:val="BodyText"/>
        <w:rPr/>
      </w:pPr>
      <w:r>
        <w:rPr/>
      </w:r>
    </w:p>
    <w:p>
      <w:pPr>
        <w:pStyle w:val="BodyText"/>
        <w:rPr/>
      </w:pPr>
      <w:r>
        <w:rPr/>
        <w:t>18.5</w:t>
        <w:tab/>
      </w:r>
      <w:r>
        <w:rPr>
          <w:u w:val="single"/>
        </w:rPr>
        <w:t>Defense of Claims</w:t>
      </w:r>
      <w:r>
        <w:fldChar w:fldCharType="begin"/>
      </w:r>
      <w:r>
        <w:rPr/>
        <w:instrText xml:space="preserve"> TC "18.5</w:instrText>
        <w:tab/>
        <w:instrText xml:space="preserve">Defense of Claims" \l 2 </w:instrText>
      </w:r>
      <w:r>
        <w:rPr/>
        <w:fldChar w:fldCharType="separate"/>
      </w:r>
      <w:r>
        <w:rPr/>
      </w:r>
      <w:r>
        <w:rPr/>
        <w:fldChar w:fldCharType="end"/>
      </w:r>
      <w:bookmarkStart w:id="121" w:name="__RefHeading___Toc482936914"/>
      <w:bookmarkEnd w:id="121"/>
      <w:r>
        <w:rPr/>
        <w:t>. The indemnifying Party, under Sections 18.1, 18.2, or 18.3 (the “Indemnitor”) shall have sole charge and direction of the defense of any suit or proceeding based on any claim, demand, loss, damage, cause of action, or suit on liability for which Indemnitor is responsible under any such Section.  The indemnified party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consent of the Indemnitor, without relieving the Indemnitor of its obligation under Sections 18.1, 18.2, or 18.3, and in either case the Indemnitor shall reimburse the Indemnitee for its expenses, court costs and reasonable attorneys’ fees.  If any claim described in Section 18.3 is held to constitute an infringement of any patent or other proprietary rights and use of any Equipment or process included in the Work is enjoined, Contractor shall at its own expense and at Contractor’s option (i) procure for Owner the right to continue to use the infringing Equipment or process, (ii) replace such Equipment or process with non-infringing equipment or process of equal utility and efficiency, or (iii) modify such Equipment or process so that it becomes non-infringing without affecting its utility or efficiency; provided that Contractor may only elect the action described in clause (ii) or (iii) if Contractor and Owner agree upon a schedule for such action which will allow Contractor to complete such action within a reasonable period of time without unreasonably interfering with the operation of the Facility.</w:t>
      </w:r>
    </w:p>
    <w:p>
      <w:pPr>
        <w:pStyle w:val="BodyText"/>
        <w:rPr/>
      </w:pPr>
      <w:r>
        <w:rPr/>
      </w:r>
    </w:p>
    <w:p>
      <w:pPr>
        <w:pStyle w:val="Style1toc"/>
        <w:keepNext w:val="true"/>
        <w:rPr/>
      </w:pPr>
      <w:r>
        <w:rPr/>
        <w:t>ARTICLE 19</w:t>
      </w:r>
      <w:r>
        <w:fldChar w:fldCharType="begin"/>
      </w:r>
      <w:r>
        <w:rPr/>
        <w:instrText xml:space="preserve"> TC "ARTICLE 19:  DISPUTE RESOLUTION" \l 1 </w:instrText>
      </w:r>
      <w:r>
        <w:rPr/>
        <w:fldChar w:fldCharType="separate"/>
      </w:r>
      <w:r>
        <w:rPr/>
      </w:r>
      <w:r>
        <w:rPr/>
        <w:fldChar w:fldCharType="end"/>
      </w:r>
      <w:bookmarkStart w:id="122" w:name="__RefHeading___Toc482936915"/>
      <w:bookmarkEnd w:id="122"/>
    </w:p>
    <w:p>
      <w:pPr>
        <w:pStyle w:val="Style1toc"/>
        <w:keepNext w:val="true"/>
        <w:rPr/>
      </w:pPr>
      <w:r>
        <w:rPr/>
        <w:t>DISPUTE RESOLUTION</w:t>
      </w:r>
    </w:p>
    <w:p>
      <w:pPr>
        <w:pStyle w:val="BodyText"/>
        <w:keepNext w:val="true"/>
        <w:rPr/>
      </w:pPr>
      <w:r>
        <w:rPr/>
      </w:r>
    </w:p>
    <w:p>
      <w:pPr>
        <w:pStyle w:val="BodyText"/>
        <w:rPr/>
      </w:pPr>
      <w:r>
        <w:rPr/>
        <w:t>19.1</w:t>
        <w:tab/>
      </w:r>
      <w:r>
        <w:rPr>
          <w:u w:val="single"/>
        </w:rPr>
        <w:t>Standard Resolution Procedure</w:t>
      </w:r>
      <w:r>
        <w:fldChar w:fldCharType="begin"/>
      </w:r>
      <w:r>
        <w:rPr/>
        <w:instrText xml:space="preserve"> TC "19.1</w:instrText>
        <w:tab/>
        <w:instrText xml:space="preserve">Standard Resolution Procedure" \l 2 </w:instrText>
      </w:r>
      <w:r>
        <w:rPr/>
        <w:fldChar w:fldCharType="separate"/>
      </w:r>
      <w:r>
        <w:rPr/>
      </w:r>
      <w:r>
        <w:rPr/>
        <w:fldChar w:fldCharType="end"/>
      </w:r>
      <w:bookmarkStart w:id="123" w:name="__RefHeading___Toc482936916"/>
      <w:bookmarkEnd w:id="123"/>
      <w:r>
        <w:rPr/>
        <w:t>. Except as provided for in Section 20.4, any claim, dispute, or controversy arising out of or relating to this Agreement or the breach or termination thereof, other than a dispute to which the Fast</w:t>
        <w:noBreakHyphen/>
        <w:t>Track Arbitration provisions of Section 19.2 apply, shall be firstly resolved by a 14 day period of negotiations between Owner’s and Contractor’s executive management and then, upon the request of either party submitted to binding arbitration in the Borough of Manhattan, New York, in accordance with the Rules of Conciliation and Arbitration of the International Chamber of Commerce (“ICC”) then in effect.  There shall be three independent arbitrators, with each party selecting one; the third arbitrator, who shall be the chairman of the panel, shall be selected by the two arbitrators appointed by the parties.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ICC shall be empowered to appoint any arbitrator not named in accordance with the procedure set forth herein.  Each arbitrator will be qualified by at least ten (10) years’ experience in construction, engineering, or the electric utility industry.  The decision of the arbitrators shall be based upon principles of law and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BodyText"/>
        <w:rPr/>
      </w:pPr>
      <w:r>
        <w:rPr/>
      </w:r>
    </w:p>
    <w:p>
      <w:pPr>
        <w:pStyle w:val="BodyText"/>
        <w:rPr/>
      </w:pPr>
      <w:r>
        <w:rPr/>
        <w:t>19.2</w:t>
        <w:tab/>
      </w:r>
      <w:r>
        <w:rPr>
          <w:u w:val="single"/>
        </w:rPr>
        <w:t>Fast</w:t>
        <w:noBreakHyphen/>
        <w:t>Track Arbitration</w:t>
      </w:r>
      <w:r>
        <w:fldChar w:fldCharType="begin"/>
      </w:r>
      <w:r>
        <w:rPr/>
        <w:instrText xml:space="preserve"> TC "19.2</w:instrText>
        <w:tab/>
        <w:instrText xml:space="preserve">Fast_x001e_Track Arbitration" \l 2 </w:instrText>
      </w:r>
      <w:r>
        <w:rPr/>
        <w:fldChar w:fldCharType="separate"/>
      </w:r>
      <w:r>
        <w:rPr/>
      </w:r>
      <w:r>
        <w:rPr/>
        <w:fldChar w:fldCharType="end"/>
      </w:r>
      <w:bookmarkStart w:id="124" w:name="__RefHeading___Toc482936917"/>
      <w:bookmarkEnd w:id="124"/>
      <w:r>
        <w:rPr/>
        <w:t>. Within thirty (30) days after the Notice to Proceed is issued, the parties shall agree upon an independent third party (the “Fast</w:t>
        <w:noBreakHyphen/>
        <w:t>Track Arbitrator”) and an alternate third party (the “Alternate”) to decide disputes to be referred to the Fast</w:t>
        <w:noBreakHyphen/>
        <w:t>Track Arbitrator as provided in this Agreement.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w:t>
      </w:r>
      <w:r>
        <w:rPr>
          <w:b/>
        </w:rPr>
        <w:t xml:space="preserve"> </w:t>
      </w:r>
      <w:r>
        <w:rPr/>
        <w:t>finds that it would be manifestly unfair to honor this agreement of the parties and determines a different allocation of costs.</w:t>
      </w:r>
    </w:p>
    <w:p>
      <w:pPr>
        <w:pStyle w:val="BodyText"/>
        <w:rPr/>
      </w:pPr>
      <w:r>
        <w:rPr/>
      </w:r>
    </w:p>
    <w:p>
      <w:pPr>
        <w:pStyle w:val="BodyText"/>
        <w:rPr/>
      </w:pPr>
      <w:r>
        <w:rPr/>
        <w:t>19.3</w:t>
        <w:tab/>
      </w:r>
      <w:r>
        <w:rPr>
          <w:u w:val="single"/>
        </w:rPr>
        <w:t>Applicable Law and Arbitration Act</w:t>
      </w:r>
      <w:r>
        <w:fldChar w:fldCharType="begin"/>
      </w:r>
      <w:r>
        <w:rPr/>
        <w:instrText xml:space="preserve"> TC "19.3</w:instrText>
        <w:tab/>
        <w:instrText xml:space="preserve">Applicable Law and Arbitration Act" \l 2 </w:instrText>
      </w:r>
      <w:r>
        <w:rPr/>
        <w:fldChar w:fldCharType="separate"/>
      </w:r>
      <w:r>
        <w:rPr/>
      </w:r>
      <w:r>
        <w:rPr/>
        <w:fldChar w:fldCharType="end"/>
      </w:r>
      <w:bookmarkStart w:id="125" w:name="__RefHeading___Toc482936918"/>
      <w:bookmarkEnd w:id="125"/>
      <w:r>
        <w:rPr/>
        <w:t>. Any arbitral award hereunder shall be enforceable in either the United States District Court for the Southern District of New York or, if such court refuses jurisdiction, any court of the State of New York sitting in the Borough of Manhattan, and Owner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 S.C. § § 1-16.  In deciding the substance of any such claim, dispute, or disagreement, the arbitrators shall apply the substantive laws of the State of New York; provided, however, that the arbitrators shall have no authority to award punitive damages under any circumstances (whether it be exemplary damages, treble damages, or any other penalty or punitive type of damages) regardless of whether such damages may be available under New York law, the parties hereby waiving their right, if any, to recover punitive damages in connection with any such claims, disputes, or disagreements.</w:t>
      </w:r>
    </w:p>
    <w:p>
      <w:pPr>
        <w:pStyle w:val="BodyText"/>
        <w:rPr/>
      </w:pPr>
      <w:r>
        <w:rPr/>
      </w:r>
    </w:p>
    <w:p>
      <w:pPr>
        <w:pStyle w:val="BodyText"/>
        <w:rPr/>
      </w:pPr>
      <w:r>
        <w:rPr/>
        <w:t>19.4</w:t>
        <w:tab/>
      </w:r>
      <w:r>
        <w:rPr>
          <w:u w:val="single"/>
        </w:rPr>
        <w:t>Continuation of Services</w:t>
      </w:r>
      <w:r>
        <w:fldChar w:fldCharType="begin"/>
      </w:r>
      <w:r>
        <w:rPr/>
        <w:instrText xml:space="preserve"> TC "19.4</w:instrText>
        <w:tab/>
        <w:instrText xml:space="preserve">Continuation of Services" \l 2 </w:instrText>
      </w:r>
      <w:r>
        <w:rPr/>
        <w:fldChar w:fldCharType="separate"/>
      </w:r>
      <w:r>
        <w:rPr/>
      </w:r>
      <w:r>
        <w:rPr/>
        <w:fldChar w:fldCharType="end"/>
      </w:r>
      <w:bookmarkStart w:id="126" w:name="__RefHeading___Toc482936919"/>
      <w:bookmarkEnd w:id="126"/>
      <w:r>
        <w:rPr/>
        <w:t>. Pending final resolution of any dispute, whether or not submitted to arbitration hereunder, Contractor and Owner shall continue to fulfill their respective obligations hereunder.</w:t>
      </w:r>
    </w:p>
    <w:p>
      <w:pPr>
        <w:pStyle w:val="BodyText"/>
        <w:rPr/>
      </w:pPr>
      <w:r>
        <w:rPr/>
      </w:r>
    </w:p>
    <w:p>
      <w:pPr>
        <w:pStyle w:val="Style1toc"/>
        <w:keepNext w:val="true"/>
        <w:rPr/>
      </w:pPr>
      <w:r>
        <w:rPr/>
        <w:t>ARTICLE 20</w:t>
      </w:r>
      <w:r>
        <w:fldChar w:fldCharType="begin"/>
      </w:r>
      <w:r>
        <w:rPr/>
        <w:instrText xml:space="preserve"> TC "ARTICLE 20:  CONFIDENTIAL INFORMATION" \l 1 </w:instrText>
      </w:r>
      <w:r>
        <w:rPr/>
        <w:fldChar w:fldCharType="separate"/>
      </w:r>
      <w:r>
        <w:rPr/>
      </w:r>
      <w:r>
        <w:rPr/>
        <w:fldChar w:fldCharType="end"/>
      </w:r>
      <w:bookmarkStart w:id="127" w:name="__RefHeading___Toc482936920"/>
      <w:bookmarkEnd w:id="127"/>
    </w:p>
    <w:p>
      <w:pPr>
        <w:pStyle w:val="Style1toc"/>
        <w:keepNext w:val="true"/>
        <w:rPr/>
      </w:pPr>
      <w:r>
        <w:rPr/>
        <w:t>CONFIDENTIAL INFORMATION</w:t>
      </w:r>
    </w:p>
    <w:p>
      <w:pPr>
        <w:pStyle w:val="BodyText"/>
        <w:keepNext w:val="true"/>
        <w:rPr/>
      </w:pPr>
      <w:r>
        <w:rPr/>
      </w:r>
    </w:p>
    <w:p>
      <w:pPr>
        <w:pStyle w:val="BodyText"/>
        <w:rPr/>
      </w:pPr>
      <w:r>
        <w:rPr/>
        <w:t>20.1</w:t>
        <w:tab/>
      </w:r>
      <w:r>
        <w:rPr>
          <w:u w:val="single"/>
        </w:rPr>
        <w:t>Confidential Information</w:t>
      </w:r>
      <w:r>
        <w:fldChar w:fldCharType="begin"/>
      </w:r>
      <w:r>
        <w:rPr/>
        <w:instrText xml:space="preserve"> TC "20.1</w:instrText>
        <w:tab/>
        <w:instrText xml:space="preserve">Confidential Information" \l 2 </w:instrText>
      </w:r>
      <w:r>
        <w:rPr/>
        <w:fldChar w:fldCharType="separate"/>
      </w:r>
      <w:r>
        <w:rPr/>
      </w:r>
      <w:r>
        <w:rPr/>
        <w:fldChar w:fldCharType="end"/>
      </w:r>
      <w:bookmarkStart w:id="128" w:name="__RefHeading___Toc482936921"/>
      <w:bookmarkEnd w:id="128"/>
      <w:r>
        <w:rPr/>
        <w:t xml:space="preserve">. For a period of two years from the earlier of Provisional Acceptance or Termination pursuant to Article 16, neither Owner nor Contractor shall disclose Confidential Information other than to its Representatives.  “Representatives,” as used in this Agreement, shall include directors, officers, employees, auditors, counsel, Lenders, any party to a Project Agreement, Affiliates and such Affiliate’s directors, officers, employees, auditors, and counsel.  To the extent that Owner’s or Contractor’s subcontractors and suppliers need to receive the technical specifications of the Facility and the Equipment to complete their work such Persons shall be deemed to be Representatives.  It is understood (i) that any Representative receiving Confidential Information shall be informed of the obligation of nondisclosure pursuant to this Agreement and (ii) Owner and Contractor shall each be responsible for any breach of this Agreement by its Representatives. </w:t>
      </w:r>
    </w:p>
    <w:p>
      <w:pPr>
        <w:pStyle w:val="BodyText"/>
        <w:rPr/>
      </w:pPr>
      <w:r>
        <w:rPr/>
      </w:r>
    </w:p>
    <w:p>
      <w:pPr>
        <w:pStyle w:val="BodyText"/>
        <w:rPr/>
      </w:pPr>
      <w:r>
        <w:rPr/>
        <w:t>20.2</w:t>
        <w:tab/>
      </w:r>
      <w:r>
        <w:rPr>
          <w:u w:val="single"/>
        </w:rPr>
        <w:t>Notice Preceding Compelled Disclosure</w:t>
      </w:r>
      <w:r>
        <w:fldChar w:fldCharType="begin"/>
      </w:r>
      <w:r>
        <w:rPr/>
        <w:instrText xml:space="preserve"> TC "20.2</w:instrText>
        <w:tab/>
        <w:instrText xml:space="preserve">Notice Preceding Compelled Disclosure" \l 2 </w:instrText>
      </w:r>
      <w:r>
        <w:rPr/>
        <w:fldChar w:fldCharType="separate"/>
      </w:r>
      <w:r>
        <w:rPr/>
      </w:r>
      <w:r>
        <w:rPr/>
        <w:fldChar w:fldCharType="end"/>
      </w:r>
      <w:bookmarkStart w:id="129" w:name="__RefHeading___Toc482936922"/>
      <w:bookmarkEnd w:id="129"/>
      <w:r>
        <w:rPr/>
        <w:t>. If Contractor 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or appropriate protective order or grant a waiver of compliance with the provisions of this Agreement.  If, in the absence of an injunction, protective order, or the receipt of a waiver hereunder, such party is, in the opinion of counsel, compelled by such law or legal process to disclose the Confidential Information, then such party may disclose only such of the Confidential Information as is required and, provided that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BodyText"/>
        <w:rPr/>
      </w:pPr>
      <w:r>
        <w:rPr/>
      </w:r>
    </w:p>
    <w:p>
      <w:pPr>
        <w:pStyle w:val="BodyText"/>
        <w:rPr/>
      </w:pPr>
      <w:r>
        <w:rPr/>
        <w:t>20.3</w:t>
        <w:tab/>
      </w:r>
      <w:r>
        <w:rPr>
          <w:u w:val="single"/>
        </w:rPr>
        <w:t>Definition of Confidential Information</w:t>
      </w:r>
      <w:r>
        <w:fldChar w:fldCharType="begin"/>
      </w:r>
      <w:r>
        <w:rPr/>
        <w:instrText xml:space="preserve"> TC "20.3</w:instrText>
        <w:tab/>
        <w:instrText xml:space="preserve">Definition of Confidential Information" \l 2 </w:instrText>
      </w:r>
      <w:r>
        <w:rPr/>
        <w:fldChar w:fldCharType="separate"/>
      </w:r>
      <w:r>
        <w:rPr/>
      </w:r>
      <w:r>
        <w:rPr/>
        <w:fldChar w:fldCharType="end"/>
      </w:r>
      <w:bookmarkStart w:id="130" w:name="__RefHeading___Toc482936923"/>
      <w:bookmarkEnd w:id="130"/>
      <w:r>
        <w:rPr/>
        <w:t>. The term “Confidential Information” shall mean all information that is furnished by one party to the other relating to the Facility, a Party’s business, or other proprietary activities.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w:t>
      </w:r>
      <w:r>
        <w:rPr>
          <w:rFonts w:cs="Arial" w:ascii="Arial" w:hAnsi="Arial"/>
        </w:rPr>
        <w:t xml:space="preserve">  </w:t>
      </w:r>
      <w:r>
        <w:rPr/>
        <w:t xml:space="preserve">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 </w:t>
      </w:r>
    </w:p>
    <w:p>
      <w:pPr>
        <w:pStyle w:val="BodyText"/>
        <w:rPr/>
      </w:pPr>
      <w:r>
        <w:rPr/>
      </w:r>
    </w:p>
    <w:p>
      <w:pPr>
        <w:pStyle w:val="BodyText"/>
        <w:rPr/>
      </w:pPr>
      <w:r>
        <w:rPr/>
        <w:t>20.4</w:t>
        <w:tab/>
      </w:r>
      <w:r>
        <w:rPr>
          <w:u w:val="single"/>
        </w:rPr>
        <w:t>Remedies</w:t>
      </w:r>
      <w:r>
        <w:fldChar w:fldCharType="begin"/>
      </w:r>
      <w:r>
        <w:rPr/>
        <w:instrText xml:space="preserve"> TC "20.4</w:instrText>
        <w:tab/>
        <w:instrText xml:space="preserve">Remedies" \l 2 </w:instrText>
      </w:r>
      <w:r>
        <w:rPr/>
        <w:fldChar w:fldCharType="separate"/>
      </w:r>
      <w:r>
        <w:rPr/>
      </w:r>
      <w:r>
        <w:rPr/>
        <w:fldChar w:fldCharType="end"/>
      </w:r>
      <w:bookmarkStart w:id="131" w:name="__RefHeading___Toc482936924"/>
      <w:bookmarkEnd w:id="131"/>
      <w:r>
        <w:rPr/>
        <w:t>. 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BodyText"/>
        <w:rPr/>
      </w:pPr>
      <w:r>
        <w:rPr/>
      </w:r>
    </w:p>
    <w:p>
      <w:pPr>
        <w:pStyle w:val="Style1toc"/>
        <w:keepNext w:val="true"/>
        <w:rPr/>
      </w:pPr>
      <w:r>
        <w:rPr/>
        <w:t>ARTICLE 21</w:t>
      </w:r>
      <w:r>
        <w:fldChar w:fldCharType="begin"/>
      </w:r>
      <w:r>
        <w:rPr/>
        <w:instrText xml:space="preserve"> TC "ARTICLE 21:  SECURITY" \l 1 </w:instrText>
      </w:r>
      <w:r>
        <w:rPr/>
        <w:fldChar w:fldCharType="separate"/>
      </w:r>
      <w:r>
        <w:rPr/>
      </w:r>
      <w:r>
        <w:rPr/>
        <w:fldChar w:fldCharType="end"/>
      </w:r>
      <w:bookmarkStart w:id="132" w:name="__RefHeading___Toc482936925"/>
      <w:bookmarkEnd w:id="132"/>
    </w:p>
    <w:p>
      <w:pPr>
        <w:pStyle w:val="Style1toc"/>
        <w:keepNext w:val="true"/>
        <w:rPr/>
      </w:pPr>
      <w:r>
        <w:rPr/>
        <w:t>SECURITY</w:t>
      </w:r>
    </w:p>
    <w:p>
      <w:pPr>
        <w:pStyle w:val="BodyText"/>
        <w:keepNext w:val="true"/>
        <w:rPr/>
      </w:pPr>
      <w:r>
        <w:rPr/>
      </w:r>
    </w:p>
    <w:p>
      <w:pPr>
        <w:pStyle w:val="BodyText"/>
        <w:rPr/>
      </w:pPr>
      <w:r>
        <w:rPr/>
        <w:t>21.1</w:t>
        <w:tab/>
      </w:r>
      <w:r>
        <w:rPr>
          <w:u w:val="single"/>
        </w:rPr>
        <w:t>Retention Bond</w:t>
      </w:r>
      <w:r>
        <w:fldChar w:fldCharType="begin"/>
      </w:r>
      <w:r>
        <w:rPr/>
        <w:instrText xml:space="preserve"> TC "21.1</w:instrText>
        <w:tab/>
        <w:instrText xml:space="preserve">Retention Bond" \l 2 </w:instrText>
      </w:r>
      <w:r>
        <w:rPr/>
        <w:fldChar w:fldCharType="separate"/>
      </w:r>
      <w:r>
        <w:rPr/>
      </w:r>
      <w:r>
        <w:rPr/>
        <w:fldChar w:fldCharType="end"/>
      </w:r>
      <w:bookmarkStart w:id="133" w:name="__RefHeading___Toc482936926"/>
      <w:bookmarkEnd w:id="133"/>
      <w:r>
        <w:rPr/>
        <w:t>. Contractor may reduce the amount of Retainage and/or Punch List Withholding required by this Agreement to the extent Contractor has provided Owner one or more irrevocable letters of credit or bank guaranties in a form reasonably acceptable to Owner, issued by a financial institution rated at least “A” by Standard &amp; Poor’s Corporation and at least “A2” by Moody’s Investors Service (the “Retention Bond”) in an amount equal to the proposed reduction.  The Retention Bond may be drawn upon by Owner in U.S. Dollars in the United States of America from time to time for Contractor’s failure to perform any of its material obligations under this Agreement or at any time there is less than 14 days remaining prior to the expiration of such Retention Bond.</w:t>
      </w:r>
    </w:p>
    <w:p>
      <w:pPr>
        <w:pStyle w:val="BodyText"/>
        <w:rPr/>
      </w:pPr>
      <w:r>
        <w:rPr/>
      </w:r>
    </w:p>
    <w:p>
      <w:pPr>
        <w:pStyle w:val="BodyText"/>
        <w:rPr/>
      </w:pPr>
      <w:r>
        <w:rPr/>
        <w:t>21.2</w:t>
        <w:tab/>
      </w:r>
      <w:r>
        <w:rPr>
          <w:u w:val="single"/>
        </w:rPr>
        <w:t>Collateral Guaranty</w:t>
      </w:r>
      <w:r>
        <w:fldChar w:fldCharType="begin"/>
      </w:r>
      <w:r>
        <w:rPr/>
        <w:instrText xml:space="preserve"> TC "21.2</w:instrText>
        <w:tab/>
        <w:instrText xml:space="preserve">Parent Guaranty" \l 2 </w:instrText>
      </w:r>
      <w:r>
        <w:rPr/>
        <w:fldChar w:fldCharType="separate"/>
      </w:r>
      <w:r>
        <w:rPr/>
      </w:r>
      <w:r>
        <w:rPr/>
        <w:fldChar w:fldCharType="end"/>
      </w:r>
      <w:bookmarkStart w:id="134" w:name="__RefHeading___Toc482936927"/>
      <w:bookmarkEnd w:id="134"/>
      <w:r>
        <w:rPr/>
        <w:t>. The Contractor shall obtain a guaranty of Contractor’s payment obligations (the "Collateral Guaranty") which at the Contractor’s option shall be one of the following</w:t>
      </w:r>
      <w:r>
        <w:rPr>
          <w:spacing w:val="-3"/>
          <w:kern w:val="2"/>
        </w:rPr>
        <w:t xml:space="preserve">: (1) a letter of credit in form reasonably satisfactory to Owner, issued or confirmed by a bank or trust company having a combined capital and surplus of at least US $250,000,000 and whose or whose parent holding company’s long-term senior unsecured debt is rated A or higher by Standard &amp; Poor's Rating Services or A2 or higher by Moody's Investors Service, Inc., in an amount equal to the Provisional Acceptance Limit until the date of Provisional Acceptance on which date the amount may be reduced to an amount equal to the Aggregate Limit, (2) </w:t>
      </w:r>
      <w:r>
        <w:rPr>
          <w:sz w:val="22"/>
        </w:rPr>
        <w:t xml:space="preserve">a payment and performance bond in form reasonably satisfactory to Owner issued by a surety </w:t>
      </w:r>
      <w:r>
        <w:rPr>
          <w:spacing w:val="-3"/>
          <w:kern w:val="2"/>
        </w:rPr>
        <w:t>having a combined capital and surplus of at least US $250,000,000, and whose long-term senior unsecured debt is rated A or higher by Standard &amp; Poor's Rating Services or A2 or higher by Moody's Investors Service, Inc., in amounts equal to the amounts described in (1) above, or (3) a guaranty, in amounts equal to the amounts described in (1) above and in form satisfactory to the Owner guaranteeing the Contractor’s payment of its obligations under this Agreement, made by an affiliate of the Contractor having assets of at least US $500,000,000 and whose long-term senior unsecured debt is rated BBB or higher by Standard &amp; Poor's Rating Services or Baa2 or higher by Moody's Investors Service, Inc.   So long as Contractor meets the requirements set forth in (3) above no Collateral Guaranty shall be required, but if at any time Contractor no longer meets such requirements then Contractor shall provide a Collateral Guaranty to the Owner within 3 days of the Contractor no longer meeting the requirements set forth in (3) above.</w:t>
      </w:r>
    </w:p>
    <w:p>
      <w:pPr>
        <w:pStyle w:val="BodyText"/>
        <w:rPr/>
      </w:pPr>
      <w:r>
        <w:rPr/>
      </w:r>
    </w:p>
    <w:p>
      <w:pPr>
        <w:pStyle w:val="Style1toc"/>
        <w:keepNext w:val="true"/>
        <w:rPr/>
      </w:pPr>
      <w:r>
        <w:rPr/>
        <w:t>ARTICLE 22</w:t>
      </w:r>
      <w:r>
        <w:fldChar w:fldCharType="begin"/>
      </w:r>
      <w:r>
        <w:rPr/>
        <w:instrText xml:space="preserve"> TC "ARTICLE 22:  MISCELLANEOUS PROVISIONS" \l 1 </w:instrText>
      </w:r>
      <w:r>
        <w:rPr/>
        <w:fldChar w:fldCharType="separate"/>
      </w:r>
      <w:r>
        <w:rPr/>
      </w:r>
      <w:r>
        <w:rPr/>
        <w:fldChar w:fldCharType="end"/>
      </w:r>
      <w:bookmarkStart w:id="135" w:name="__RefHeading___Toc482936928"/>
      <w:bookmarkEnd w:id="135"/>
    </w:p>
    <w:p>
      <w:pPr>
        <w:pStyle w:val="Style1toc"/>
        <w:keepNext w:val="true"/>
        <w:rPr/>
      </w:pPr>
      <w:r>
        <w:rPr/>
        <w:t>MISCELLANEOUS PROVISIONS</w:t>
      </w:r>
    </w:p>
    <w:p>
      <w:pPr>
        <w:pStyle w:val="BodyText"/>
        <w:keepNext w:val="true"/>
        <w:rPr/>
      </w:pPr>
      <w:r>
        <w:rPr/>
      </w:r>
    </w:p>
    <w:p>
      <w:pPr>
        <w:pStyle w:val="Style2toc"/>
        <w:rPr/>
      </w:pPr>
      <w:r>
        <w:rPr/>
        <w:t>22.1</w:t>
        <w:tab/>
      </w:r>
      <w:r>
        <w:rPr>
          <w:u w:val="single"/>
        </w:rPr>
        <w:t>Governing Law</w:t>
      </w:r>
      <w:r>
        <w:fldChar w:fldCharType="begin"/>
      </w:r>
      <w:r>
        <w:rPr/>
        <w:instrText xml:space="preserve"> TC "22.1</w:instrText>
        <w:tab/>
        <w:instrText xml:space="preserve">Governing Law" \l 2 </w:instrText>
      </w:r>
      <w:r>
        <w:rPr/>
        <w:fldChar w:fldCharType="separate"/>
      </w:r>
      <w:r>
        <w:rPr/>
      </w:r>
      <w:r>
        <w:rPr/>
        <w:fldChar w:fldCharType="end"/>
      </w:r>
      <w:bookmarkStart w:id="136" w:name="__RefHeading___Toc482936929"/>
      <w:bookmarkEnd w:id="136"/>
      <w:r>
        <w:rPr/>
        <w:t>. THIS AGREEMENT SHALL BE GOVERNED BY, CONSTRUED AND ENFORCED IN ACCORDANCE WITH, THE LAWS OF THE STATE OF NEW YORK (WITHOUT GIVING EFFECT TO THE PRINCIPLES THEREOF RELATING TO CONFLICTS OF LAWS EXCEPT SECTION 5-1401 OF THE NEW YORK GENERAL OBLIGATIONS LAW).</w:t>
      </w:r>
    </w:p>
    <w:p>
      <w:pPr>
        <w:pStyle w:val="BodyText"/>
        <w:rPr/>
      </w:pPr>
      <w:r>
        <w:rPr/>
      </w:r>
    </w:p>
    <w:p>
      <w:pPr>
        <w:pStyle w:val="BodyText"/>
        <w:rPr/>
      </w:pPr>
      <w:r>
        <w:rPr/>
        <w:t>22.2</w:t>
        <w:tab/>
      </w:r>
      <w:r>
        <w:rPr>
          <w:u w:val="single"/>
        </w:rPr>
        <w:t>Notice</w:t>
      </w:r>
      <w:r>
        <w:fldChar w:fldCharType="begin"/>
      </w:r>
      <w:r>
        <w:rPr/>
        <w:instrText xml:space="preserve"> TC "22.2</w:instrText>
        <w:tab/>
        <w:instrText xml:space="preserve">Notice" \l 2 </w:instrText>
      </w:r>
      <w:r>
        <w:rPr/>
        <w:fldChar w:fldCharType="separate"/>
      </w:r>
      <w:r>
        <w:rPr/>
      </w:r>
      <w:r>
        <w:rPr/>
        <w:fldChar w:fldCharType="end"/>
      </w:r>
      <w:bookmarkStart w:id="137" w:name="__RefHeading___Toc482936930"/>
      <w:bookmarkEnd w:id="137"/>
      <w:r>
        <w:rPr/>
        <w:t>. Any notice, demand, offer, or other written instrument required or permitted to be given pursuant to this Agreement shall be in writing signed by the Party giving such notice and shall be hand delivered or sent by registered letter or telefax (subject to confirmation of receipt) to the address or telefax number set forth below.</w:t>
      </w:r>
    </w:p>
    <w:p>
      <w:pPr>
        <w:pStyle w:val="BodyText"/>
        <w:rPr/>
      </w:pPr>
      <w:r>
        <w:rPr/>
      </w:r>
    </w:p>
    <w:p>
      <w:pPr>
        <w:pStyle w:val="BodyText"/>
        <w:keepLines/>
        <w:rPr/>
      </w:pPr>
      <w:r>
        <w:rPr/>
        <w:t>To Owner:</w:t>
      </w:r>
    </w:p>
    <w:p>
      <w:pPr>
        <w:pStyle w:val="BodyText"/>
        <w:keepLines/>
        <w:rPr/>
      </w:pPr>
      <w:r>
        <w:rPr/>
      </w:r>
    </w:p>
    <w:p>
      <w:pPr>
        <w:pStyle w:val="BodyText"/>
        <w:keepLines/>
        <w:rPr/>
      </w:pPr>
      <w:r>
        <w:rPr/>
        <w:t>Enron Energia Industrial de Mexico S. de R.L. de C.V.</w:t>
      </w:r>
    </w:p>
    <w:p>
      <w:pPr>
        <w:pStyle w:val="Normal"/>
        <w:keepNext w:val="true"/>
        <w:keepLines/>
        <w:ind w:firstLine="720" w:end="0"/>
        <w:rPr>
          <w:sz w:val="23"/>
        </w:rPr>
      </w:pPr>
      <w:r>
        <w:rPr>
          <w:sz w:val="23"/>
        </w:rPr>
        <w:t>Avenida Lázaro Cárdenas 2321, Ste. 601</w:t>
      </w:r>
    </w:p>
    <w:p>
      <w:pPr>
        <w:pStyle w:val="Normal"/>
        <w:keepNext w:val="true"/>
        <w:keepLines/>
        <w:ind w:firstLine="720" w:end="0"/>
        <w:rPr>
          <w:sz w:val="23"/>
        </w:rPr>
      </w:pPr>
      <w:r>
        <w:rPr>
          <w:sz w:val="23"/>
        </w:rPr>
        <w:t>Colonia Residencial San Agustin</w:t>
      </w:r>
    </w:p>
    <w:p>
      <w:pPr>
        <w:pStyle w:val="Normal"/>
        <w:keepNext w:val="true"/>
        <w:keepLines/>
        <w:ind w:firstLine="720" w:end="0"/>
        <w:rPr>
          <w:sz w:val="23"/>
        </w:rPr>
      </w:pPr>
      <w:r>
        <w:rPr>
          <w:sz w:val="23"/>
        </w:rPr>
        <w:t>Garza García, Nuevo León, 66260</w:t>
      </w:r>
    </w:p>
    <w:p>
      <w:pPr>
        <w:pStyle w:val="Normal"/>
        <w:keepNext w:val="true"/>
        <w:keepLines/>
        <w:ind w:firstLine="720" w:end="0"/>
        <w:rPr>
          <w:sz w:val="23"/>
        </w:rPr>
      </w:pPr>
      <w:r>
        <w:rPr>
          <w:sz w:val="23"/>
        </w:rPr>
        <w:t>Mexico</w:t>
      </w:r>
    </w:p>
    <w:p>
      <w:pPr>
        <w:pStyle w:val="Normal"/>
        <w:keepNext w:val="true"/>
        <w:keepLines/>
        <w:rPr>
          <w:sz w:val="23"/>
        </w:rPr>
      </w:pPr>
      <w:r>
        <w:rPr>
          <w:sz w:val="23"/>
        </w:rPr>
        <w:tab/>
        <w:t>Telephone:  (8) 152-2400</w:t>
        <w:tab/>
      </w:r>
    </w:p>
    <w:p>
      <w:pPr>
        <w:pStyle w:val="Normal"/>
        <w:keepNext w:val="true"/>
        <w:keepLines/>
        <w:ind w:firstLine="720" w:end="0"/>
        <w:rPr>
          <w:sz w:val="23"/>
        </w:rPr>
      </w:pPr>
      <w:r>
        <w:rPr>
          <w:sz w:val="23"/>
        </w:rPr>
        <w:t>Fax:  (8) 152-2449</w:t>
        <w:tab/>
      </w:r>
    </w:p>
    <w:p>
      <w:pPr>
        <w:pStyle w:val="Normal"/>
        <w:keepLines/>
        <w:rPr>
          <w:sz w:val="23"/>
        </w:rPr>
      </w:pPr>
      <w:r>
        <w:rPr>
          <w:sz w:val="23"/>
        </w:rPr>
      </w:r>
    </w:p>
    <w:p>
      <w:pPr>
        <w:pStyle w:val="Normal"/>
        <w:keepLines/>
        <w:ind w:firstLine="720" w:end="0"/>
        <w:rPr>
          <w:sz w:val="23"/>
        </w:rPr>
      </w:pPr>
      <w:r>
        <w:rPr>
          <w:sz w:val="23"/>
        </w:rPr>
        <w:t>Attention: Mario Max Yzaguirre</w:t>
      </w:r>
    </w:p>
    <w:p>
      <w:pPr>
        <w:pStyle w:val="Normal"/>
        <w:rPr>
          <w:sz w:val="23"/>
        </w:rPr>
      </w:pPr>
      <w:r>
        <w:rPr>
          <w:sz w:val="23"/>
        </w:rPr>
      </w:r>
    </w:p>
    <w:p>
      <w:pPr>
        <w:pStyle w:val="BodyText"/>
        <w:rPr>
          <w:sz w:val="23"/>
        </w:rPr>
      </w:pPr>
      <w:r>
        <w:rPr>
          <w:sz w:val="23"/>
        </w:rPr>
      </w:r>
    </w:p>
    <w:p>
      <w:pPr>
        <w:pStyle w:val="BodyText"/>
        <w:rPr/>
      </w:pPr>
      <w:r>
        <w:rPr/>
      </w:r>
    </w:p>
    <w:p>
      <w:pPr>
        <w:pStyle w:val="BodyText"/>
        <w:rPr/>
      </w:pPr>
      <w:r>
        <w:rPr/>
      </w:r>
    </w:p>
    <w:p>
      <w:pPr>
        <w:pStyle w:val="BodyText"/>
        <w:rPr/>
      </w:pPr>
      <w:r>
        <w:rPr/>
        <w:t>To Contractor:</w:t>
      </w:r>
    </w:p>
    <w:p>
      <w:pPr>
        <w:pStyle w:val="BodyText"/>
        <w:rPr/>
      </w:pPr>
      <w:r>
        <w:rPr/>
      </w:r>
    </w:p>
    <w:p>
      <w:pPr>
        <w:pStyle w:val="BodyText"/>
        <w:rPr/>
      </w:pPr>
      <w:r>
        <w:rPr/>
        <w:t>Mitsui &amp; Co., Ltd.</w:t>
      </w:r>
    </w:p>
    <w:p>
      <w:pPr>
        <w:pStyle w:val="BodyText"/>
        <w:ind w:firstLine="720" w:end="0"/>
        <w:rPr/>
      </w:pPr>
      <w:r>
        <w:rPr/>
        <w:t>2-1, Ohtemachi 1-Chome</w:t>
      </w:r>
    </w:p>
    <w:p>
      <w:pPr>
        <w:pStyle w:val="BodyText"/>
        <w:ind w:firstLine="720" w:end="0"/>
        <w:rPr/>
      </w:pPr>
      <w:r>
        <w:rPr/>
        <w:t>Chiyoda—ku, Tokyo, Japan</w:t>
      </w:r>
    </w:p>
    <w:p>
      <w:pPr>
        <w:pStyle w:val="BodyText"/>
        <w:rPr/>
      </w:pPr>
      <w:r>
        <w:rPr/>
        <w:tab/>
        <w:t>Telephone:  03-3285-4119</w:t>
      </w:r>
    </w:p>
    <w:p>
      <w:pPr>
        <w:pStyle w:val="BodyText"/>
        <w:rPr/>
      </w:pPr>
      <w:r>
        <w:rPr/>
        <w:tab/>
        <w:t>Fax:  03-3285-9978</w:t>
      </w:r>
    </w:p>
    <w:p>
      <w:pPr>
        <w:pStyle w:val="BodyText"/>
        <w:rPr/>
      </w:pPr>
      <w:r>
        <w:rPr/>
      </w:r>
    </w:p>
    <w:p>
      <w:pPr>
        <w:pStyle w:val="BodyText"/>
        <w:rPr/>
      </w:pPr>
      <w:r>
        <w:rPr/>
      </w:r>
    </w:p>
    <w:p>
      <w:pPr>
        <w:pStyle w:val="BodyText"/>
        <w:rPr/>
      </w:pPr>
      <w:r>
        <w:rPr/>
        <w:tab/>
        <w:t>Each party to this Agreement shall have the right to change the place to which notice shall be sent or delivered by similar notice sent in like manner to the other party.  The effective date of any notice issued pursuant to this Agreement shall be the earlier of (i) the addressee's receipt of such notice and (ii) the date three days after such notice was sent by properly addressed, registered, or certified mail.</w:t>
      </w:r>
    </w:p>
    <w:p>
      <w:pPr>
        <w:pStyle w:val="BodyText"/>
        <w:rPr/>
      </w:pPr>
      <w:r>
        <w:rPr/>
      </w:r>
    </w:p>
    <w:p>
      <w:pPr>
        <w:pStyle w:val="BodyText"/>
        <w:rPr>
          <w:sz w:val="24"/>
        </w:rPr>
      </w:pPr>
      <w:r>
        <w:rPr/>
        <w:t>22.3</w:t>
        <w:tab/>
      </w:r>
      <w:r>
        <w:rPr>
          <w:u w:val="single"/>
        </w:rPr>
        <w:t>Assignment</w:t>
      </w:r>
      <w:r>
        <w:fldChar w:fldCharType="begin"/>
      </w:r>
      <w:r>
        <w:rPr/>
        <w:instrText xml:space="preserve"> TC "22.3</w:instrText>
        <w:tab/>
        <w:instrText xml:space="preserve">Assignment" \l 2 </w:instrText>
      </w:r>
      <w:r>
        <w:rPr/>
        <w:fldChar w:fldCharType="separate"/>
      </w:r>
      <w:r>
        <w:rPr/>
      </w:r>
      <w:r>
        <w:rPr/>
        <w:fldChar w:fldCharType="end"/>
      </w:r>
      <w:bookmarkStart w:id="138" w:name="__RefHeading___Toc482936931"/>
      <w:bookmarkEnd w:id="138"/>
      <w:r>
        <w:rPr/>
        <w:t xml:space="preserve">. Except as set forth below in this Section 22.3, this Agreement may be assigned only with the prior written consent of the other Party to this Agreement.  Owner may assign this Agreement, the Security, and any rights or obligations thereunder to any Lender or any trustee or agent of any Lender as collateral security (and in connection therewith, Contractor hereby agrees to execute and deliver to Lender a consent agreement(s) in the form reasonably requested by Lender).  Owner may assign this Agreement, the Security or any interest therein to any Person; provided that Owner unconditionally guarantees the performance of such Person ’s obligations under this Agreement.  Contractor may assign this Agreement to any Affiliate of Contractor; provided that Contractor unconditionally guarantees the performance of such Affiliate’s obligations under this Agreement. Any purported assignment not in compliance with this Section 22.3 shall be void and without force or effect.  </w:t>
      </w:r>
    </w:p>
    <w:p>
      <w:pPr>
        <w:pStyle w:val="BodyText"/>
        <w:rPr>
          <w:sz w:val="24"/>
        </w:rPr>
      </w:pPr>
      <w:r>
        <w:rPr>
          <w:sz w:val="24"/>
        </w:rPr>
      </w:r>
    </w:p>
    <w:p>
      <w:pPr>
        <w:pStyle w:val="Style2toc"/>
        <w:keepNext w:val="true"/>
        <w:rPr/>
      </w:pPr>
      <w:r>
        <w:rPr/>
        <w:t>22.4</w:t>
        <w:tab/>
      </w:r>
      <w:r>
        <w:rPr>
          <w:u w:val="single"/>
        </w:rPr>
        <w:t>Miscellaneous</w:t>
      </w:r>
      <w:r>
        <w:fldChar w:fldCharType="begin"/>
      </w:r>
      <w:r>
        <w:rPr/>
        <w:instrText xml:space="preserve"> TC "22.4</w:instrText>
        <w:tab/>
        <w:instrText xml:space="preserve">Miscellaneous" \l 2 </w:instrText>
      </w:r>
      <w:r>
        <w:rPr/>
        <w:fldChar w:fldCharType="separate"/>
      </w:r>
      <w:r>
        <w:rPr/>
      </w:r>
      <w:r>
        <w:rPr/>
        <w:fldChar w:fldCharType="end"/>
      </w:r>
      <w:bookmarkStart w:id="139" w:name="__RefHeading___Toc482936932"/>
      <w:bookmarkEnd w:id="139"/>
      <w:r>
        <w:rPr/>
        <w:t>.</w:t>
      </w:r>
    </w:p>
    <w:p>
      <w:pPr>
        <w:pStyle w:val="BodyText"/>
        <w:keepNext w:val="true"/>
        <w:rPr/>
      </w:pPr>
      <w:r>
        <w:rPr/>
      </w:r>
    </w:p>
    <w:p>
      <w:pPr>
        <w:pStyle w:val="BodyText"/>
        <w:rPr/>
      </w:pPr>
      <w:r>
        <w:rPr/>
        <w:tab/>
        <w:t>22.4.1</w:t>
        <w:tab/>
      </w:r>
      <w:r>
        <w:rPr>
          <w:u w:val="single"/>
        </w:rPr>
        <w:t>Entire Agreement</w:t>
      </w:r>
      <w:r>
        <w:rPr/>
        <w:t>.  This Agreement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Agreement.</w:t>
      </w:r>
    </w:p>
    <w:p>
      <w:pPr>
        <w:pStyle w:val="BodyText"/>
        <w:rPr/>
      </w:pPr>
      <w:r>
        <w:rPr/>
      </w:r>
    </w:p>
    <w:p>
      <w:pPr>
        <w:pStyle w:val="BodyText"/>
        <w:rPr/>
      </w:pPr>
      <w:r>
        <w:rPr/>
        <w:tab/>
        <w:t>22.4.2</w:t>
        <w:tab/>
      </w:r>
      <w:r>
        <w:rPr>
          <w:u w:val="single"/>
        </w:rPr>
        <w:t>Amendments</w:t>
      </w:r>
      <w:r>
        <w:rPr/>
        <w:t>.  No change, amendment, or modification of this Agreement shall be valid or binding upon the parties hereto unless such change, amendment, or modification shall be in writing and duly executed by both Parties hereto.</w:t>
      </w:r>
    </w:p>
    <w:p>
      <w:pPr>
        <w:pStyle w:val="BodyText"/>
        <w:rPr/>
      </w:pPr>
      <w:r>
        <w:rPr/>
      </w:r>
    </w:p>
    <w:p>
      <w:pPr>
        <w:pStyle w:val="BodyText"/>
        <w:rPr/>
      </w:pPr>
      <w:r>
        <w:rPr/>
        <w:tab/>
        <w:t>22.4.3</w:t>
        <w:tab/>
      </w:r>
      <w:r>
        <w:rPr>
          <w:u w:val="single"/>
        </w:rPr>
        <w:t>Joint Effort</w:t>
      </w:r>
      <w:r>
        <w:rPr/>
        <w:t>.  Preparation of this Agreement has been a joint effort of the Parties and the resulting document shall not be construed more severely against one of the Parties than against the other.</w:t>
      </w:r>
    </w:p>
    <w:p>
      <w:pPr>
        <w:pStyle w:val="BodyText"/>
        <w:rPr/>
      </w:pPr>
      <w:r>
        <w:rPr/>
      </w:r>
    </w:p>
    <w:p>
      <w:pPr>
        <w:pStyle w:val="BodyTextIndent"/>
        <w:rPr/>
      </w:pPr>
      <w:r>
        <w:rPr/>
        <w:t>22.4.4</w:t>
        <w:tab/>
      </w:r>
      <w:r>
        <w:rPr>
          <w:u w:val="single"/>
        </w:rPr>
        <w:t>Captions</w:t>
      </w:r>
      <w:r>
        <w:rPr/>
        <w:t>.  The captions contained in this Agreement are for convenience and reference only and in no way define, describe, extend, or limit the scope of intent of this Agreement or the intent of any provision contained herein.</w:t>
      </w:r>
    </w:p>
    <w:p>
      <w:pPr>
        <w:pStyle w:val="BodyText"/>
        <w:rPr/>
      </w:pPr>
      <w:r>
        <w:rPr/>
      </w:r>
    </w:p>
    <w:p>
      <w:pPr>
        <w:pStyle w:val="BodyText"/>
        <w:rPr/>
      </w:pPr>
      <w:r>
        <w:rPr/>
        <w:tab/>
        <w:t>22.4.5</w:t>
        <w:tab/>
      </w:r>
      <w:r>
        <w:rPr>
          <w:u w:val="single"/>
        </w:rPr>
        <w:t>Severability</w:t>
      </w:r>
      <w:r>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BodyText"/>
        <w:rPr/>
      </w:pPr>
      <w:r>
        <w:rPr/>
      </w:r>
    </w:p>
    <w:p>
      <w:pPr>
        <w:pStyle w:val="BodyText"/>
        <w:rPr/>
      </w:pPr>
      <w:r>
        <w:rPr/>
        <w:tab/>
        <w:t>22.4.6</w:t>
        <w:tab/>
      </w:r>
      <w:r>
        <w:rPr>
          <w:u w:val="single"/>
        </w:rPr>
        <w:t>No Waiver</w:t>
      </w:r>
      <w:r>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BodyText"/>
        <w:rPr/>
      </w:pPr>
      <w:r>
        <w:rPr/>
      </w:r>
    </w:p>
    <w:p>
      <w:pPr>
        <w:pStyle w:val="BodyText"/>
        <w:rPr/>
      </w:pPr>
      <w:r>
        <w:rPr/>
        <w:tab/>
        <w:t>22.4.7</w:t>
        <w:tab/>
      </w:r>
      <w:r>
        <w:rPr>
          <w:u w:val="single"/>
        </w:rPr>
        <w:t>Successors and Assigns</w:t>
      </w:r>
      <w:r>
        <w:rPr/>
        <w:t>.  This Agreement shall be binding upon and shall inure to the benefit of the parties hereto and their successors and permitted assigns.</w:t>
      </w:r>
    </w:p>
    <w:p>
      <w:pPr>
        <w:pStyle w:val="BodyText"/>
        <w:rPr/>
      </w:pPr>
      <w:r>
        <w:rPr/>
      </w:r>
    </w:p>
    <w:p>
      <w:pPr>
        <w:pStyle w:val="BodyText"/>
        <w:rPr/>
      </w:pPr>
      <w:r>
        <w:rPr/>
        <w:tab/>
        <w:t>22.4.8</w:t>
        <w:tab/>
      </w:r>
      <w:r>
        <w:rPr>
          <w:u w:val="single"/>
        </w:rPr>
        <w:t>Exhibits</w:t>
      </w:r>
      <w:r>
        <w:rPr/>
        <w:t>.  All exhibits referenced in this Agreement shall be incorporated into this Agreement by such reference and shall be deemed to be an integral part of this Agreement.</w:t>
      </w:r>
    </w:p>
    <w:p>
      <w:pPr>
        <w:pStyle w:val="BodyText"/>
        <w:rPr/>
      </w:pPr>
      <w:r>
        <w:rPr/>
      </w:r>
    </w:p>
    <w:p>
      <w:pPr>
        <w:pStyle w:val="BodyText"/>
        <w:rPr/>
      </w:pPr>
      <w:r>
        <w:rPr/>
        <w:tab/>
        <w:t>22.4.9</w:t>
        <w:tab/>
      </w:r>
      <w:r>
        <w:rPr>
          <w:u w:val="single"/>
        </w:rPr>
        <w:t>Obligations</w:t>
      </w:r>
      <w:r>
        <w:rPr/>
        <w:t>.  Contractor’s relationship with Owner is that of an independent contractor and nothing contained in this Agreement shall be construed as constituting a joint venture or partnership between Contractor and Owner.</w:t>
      </w:r>
    </w:p>
    <w:p>
      <w:pPr>
        <w:pStyle w:val="BodyText"/>
        <w:rPr/>
      </w:pPr>
      <w:r>
        <w:rPr/>
      </w:r>
    </w:p>
    <w:p>
      <w:pPr>
        <w:pStyle w:val="BodyText"/>
        <w:rPr/>
      </w:pPr>
      <w:r>
        <w:rPr/>
        <w:tab/>
        <w:t>22.4.10</w:t>
        <w:tab/>
        <w:t xml:space="preserve"> </w:t>
      </w:r>
      <w:r>
        <w:rPr>
          <w:u w:val="single"/>
        </w:rPr>
        <w:t>Further Assurances</w:t>
      </w:r>
      <w:r>
        <w:rPr/>
        <w:t>.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BodyText"/>
        <w:rPr/>
      </w:pPr>
      <w:r>
        <w:rPr/>
      </w:r>
    </w:p>
    <w:p>
      <w:pPr>
        <w:pStyle w:val="BodyText"/>
        <w:rPr/>
      </w:pPr>
      <w:r>
        <w:rPr/>
        <w:tab/>
        <w:t>22.4.11</w:t>
        <w:tab/>
      </w:r>
      <w:r>
        <w:rPr>
          <w:u w:val="single"/>
        </w:rPr>
        <w:t>Priority</w:t>
      </w:r>
      <w:r>
        <w:rPr/>
        <w:t>.  In the event of any conflict or inconsistency between this Agreement and the Exhibits or other incorporated or associated documentation, the terms and conditions of this Agreement shall control.</w:t>
      </w:r>
    </w:p>
    <w:p>
      <w:pPr>
        <w:pStyle w:val="BodyText"/>
        <w:rPr/>
      </w:pPr>
      <w:r>
        <w:rPr/>
      </w:r>
    </w:p>
    <w:p>
      <w:pPr>
        <w:pStyle w:val="BodyTextIndent"/>
        <w:rPr/>
      </w:pPr>
      <w:r>
        <w:rPr/>
        <w:t>22.4.12</w:t>
        <w:tab/>
      </w:r>
      <w:r>
        <w:rPr>
          <w:u w:val="single"/>
        </w:rPr>
        <w:t>Counterparts</w:t>
      </w:r>
      <w:r>
        <w:rPr/>
        <w:t>.  This Agreement may be signed in any number of counterparts and each counterpart shall represent a fully executed original as if signed by both parties.</w:t>
      </w:r>
    </w:p>
    <w:p>
      <w:pPr>
        <w:pStyle w:val="BodyText"/>
        <w:rPr/>
      </w:pPr>
      <w:r>
        <w:rPr/>
      </w:r>
    </w:p>
    <w:p>
      <w:pPr>
        <w:pStyle w:val="BodyTextIndent"/>
        <w:rPr/>
      </w:pPr>
      <w:r>
        <w:rPr/>
        <w:t>22.4.13</w:t>
        <w:tab/>
      </w:r>
      <w:r>
        <w:rPr>
          <w:u w:val="single"/>
        </w:rPr>
        <w:t>Survival</w:t>
      </w:r>
      <w:r>
        <w:rPr/>
        <w:t>.  The indemnities set forth in this Agreement shall survive the completion of the Work, the payment of all portions of the Contract Price, and any termination of this Agreement.</w:t>
      </w:r>
    </w:p>
    <w:p>
      <w:pPr>
        <w:pStyle w:val="BodyText"/>
        <w:rPr/>
      </w:pPr>
      <w:r>
        <w:rPr/>
      </w:r>
    </w:p>
    <w:p>
      <w:pPr>
        <w:pStyle w:val="BodyText"/>
        <w:ind w:firstLine="720" w:end="0"/>
        <w:rPr/>
      </w:pPr>
      <w:r>
        <w:rPr/>
        <w:t>22.4.14</w:t>
        <w:tab/>
      </w:r>
      <w:r>
        <w:rPr>
          <w:u w:val="single"/>
        </w:rPr>
        <w:t>Performance of Obligations</w:t>
      </w:r>
      <w:r>
        <w:rPr/>
        <w:t>.  If an obligation to be performed under this Agreement falls due on a day other than a Business Day, the obligation will be due on the next Business Day.</w:t>
      </w:r>
    </w:p>
    <w:p>
      <w:pPr>
        <w:pStyle w:val="BodyText"/>
        <w:rPr/>
      </w:pPr>
      <w:r>
        <w:rPr/>
      </w:r>
    </w:p>
    <w:p>
      <w:pPr>
        <w:pStyle w:val="BodyText"/>
        <w:ind w:firstLine="720" w:end="0"/>
        <w:rPr/>
      </w:pPr>
      <w:r>
        <w:rPr/>
        <w:t>22.4.15</w:t>
        <w:tab/>
      </w:r>
      <w:r>
        <w:rPr>
          <w:u w:val="single"/>
        </w:rPr>
        <w:t>Language</w:t>
      </w:r>
      <w:r>
        <w:rPr/>
        <w:t xml:space="preserve">.  This Agreement and all documents, correspondence, notices, certificates, data, and drawings supplied herewith shall be provided in English. </w:t>
      </w:r>
    </w:p>
    <w:p>
      <w:pPr>
        <w:pStyle w:val="BodyText"/>
        <w:rPr/>
      </w:pPr>
      <w:r>
        <w:rPr/>
      </w:r>
      <w:r>
        <w:br w:type="page"/>
      </w:r>
    </w:p>
    <w:p>
      <w:pPr>
        <w:pStyle w:val="BodyText"/>
        <w:rPr/>
      </w:pPr>
      <w:r>
        <w:rPr/>
      </w:r>
    </w:p>
    <w:p>
      <w:pPr>
        <w:pStyle w:val="BodyText"/>
        <w:rPr/>
      </w:pPr>
      <w:r>
        <w:rPr/>
        <w:t>IN WITNESS WHEREOF, Owner and Contractor executed this Agreement as of the date first written above.</w:t>
      </w:r>
    </w:p>
    <w:p>
      <w:pPr>
        <w:pStyle w:val="BodyText"/>
        <w:rPr/>
      </w:pPr>
      <w:r>
        <w:rPr/>
      </w:r>
    </w:p>
    <w:p>
      <w:pPr>
        <w:pStyle w:val="BodyText"/>
        <w:rPr/>
      </w:pPr>
      <w:r>
        <w:rPr/>
        <w:t>Owner:</w:t>
      </w:r>
    </w:p>
    <w:p>
      <w:pPr>
        <w:pStyle w:val="Normal"/>
        <w:keepNext w:val="true"/>
        <w:rPr>
          <w:sz w:val="23"/>
        </w:rPr>
      </w:pPr>
      <w:r>
        <w:rPr>
          <w:sz w:val="23"/>
        </w:rPr>
      </w:r>
    </w:p>
    <w:p>
      <w:pPr>
        <w:pStyle w:val="Normal"/>
        <w:keepNext w:val="true"/>
        <w:rPr>
          <w:sz w:val="23"/>
        </w:rPr>
      </w:pPr>
      <w:r>
        <w:rPr>
          <w:sz w:val="23"/>
        </w:rPr>
        <w:t>ENRON ENERGIA INDUSTRIAL DE MEXICO, S. DE R.L. DE C.V.</w:t>
      </w:r>
    </w:p>
    <w:p>
      <w:pPr>
        <w:pStyle w:val="Normal"/>
        <w:keepNext w:val="true"/>
        <w:rPr>
          <w:sz w:val="23"/>
        </w:rPr>
      </w:pPr>
      <w:r>
        <w:rPr>
          <w:sz w:val="23"/>
        </w:rPr>
      </w:r>
    </w:p>
    <w:p>
      <w:pPr>
        <w:pStyle w:val="Normal"/>
        <w:keepNext w:val="true"/>
        <w:rPr>
          <w:sz w:val="23"/>
        </w:rPr>
      </w:pPr>
      <w:r>
        <w:rPr>
          <w:sz w:val="23"/>
        </w:rPr>
      </w:r>
    </w:p>
    <w:p>
      <w:pPr>
        <w:pStyle w:val="Normal"/>
        <w:keepNext w:val="true"/>
        <w:rPr/>
      </w:pPr>
      <w:r>
        <w:rPr>
          <w:sz w:val="23"/>
        </w:rPr>
        <w:t>By</w:t>
      </w:r>
      <w:r>
        <w:rPr>
          <w:sz w:val="23"/>
          <w:u w:val="single"/>
        </w:rPr>
        <w:tab/>
        <w:tab/>
        <w:tab/>
        <w:tab/>
        <w:tab/>
        <w:tab/>
      </w:r>
    </w:p>
    <w:p>
      <w:pPr>
        <w:pStyle w:val="Normal"/>
        <w:keepNext w:val="true"/>
        <w:rPr>
          <w:sz w:val="23"/>
        </w:rPr>
      </w:pPr>
      <w:r>
        <w:rPr>
          <w:sz w:val="23"/>
        </w:rPr>
        <w:t>Name:  Mario Max Yzaguirre</w:t>
      </w:r>
    </w:p>
    <w:p>
      <w:pPr>
        <w:pStyle w:val="Normal"/>
        <w:rPr>
          <w:sz w:val="23"/>
        </w:rPr>
      </w:pPr>
      <w:r>
        <w:rPr>
          <w:sz w:val="23"/>
        </w:rPr>
        <w:t xml:space="preserve">Title:  </w:t>
        <w:tab/>
        <w:t>President</w:t>
      </w:r>
    </w:p>
    <w:p>
      <w:pPr>
        <w:pStyle w:val="Normal"/>
        <w:rPr>
          <w:sz w:val="23"/>
        </w:rPr>
      </w:pPr>
      <w:r>
        <w:rPr>
          <w:sz w:val="23"/>
        </w:rPr>
      </w:r>
    </w:p>
    <w:p>
      <w:pPr>
        <w:pStyle w:val="BodyText"/>
        <w:rPr/>
      </w:pPr>
      <w:r>
        <w:rPr/>
        <w:t>Contractor:</w:t>
      </w:r>
    </w:p>
    <w:p>
      <w:pPr>
        <w:pStyle w:val="BodyText"/>
        <w:rPr/>
      </w:pPr>
      <w:r>
        <w:rPr/>
      </w:r>
    </w:p>
    <w:p>
      <w:pPr>
        <w:pStyle w:val="BodyText"/>
        <w:rPr/>
      </w:pPr>
      <w:r>
        <w:rPr/>
        <w:t>MITSUI &amp; CO., LTD.</w:t>
      </w:r>
    </w:p>
    <w:p>
      <w:pPr>
        <w:pStyle w:val="BodyText"/>
        <w:rPr/>
      </w:pPr>
      <w:r>
        <w:rPr/>
      </w:r>
    </w:p>
    <w:p>
      <w:pPr>
        <w:pStyle w:val="BodyText"/>
        <w:rPr/>
      </w:pPr>
      <w:r>
        <w:rPr/>
        <w:t>By:_______________________</w:t>
      </w:r>
    </w:p>
    <w:p>
      <w:pPr>
        <w:pStyle w:val="BodyText"/>
        <w:rPr/>
      </w:pPr>
      <w:r>
        <w:rPr/>
      </w:r>
    </w:p>
    <w:p>
      <w:pPr>
        <w:pStyle w:val="BodyText"/>
        <w:rPr/>
      </w:pPr>
      <w:r>
        <w:rPr/>
        <w:t>Name:_____________________</w:t>
      </w:r>
    </w:p>
    <w:p>
      <w:pPr>
        <w:pStyle w:val="BodyText"/>
        <w:rPr/>
      </w:pPr>
      <w:r>
        <w:rPr/>
      </w:r>
    </w:p>
    <w:p>
      <w:pPr>
        <w:pStyle w:val="BodyText"/>
        <w:rPr/>
      </w:pPr>
      <w:r>
        <w:rPr/>
        <w:t>Title:______________________</w:t>
      </w:r>
    </w:p>
    <w:p>
      <w:pPr>
        <w:pStyle w:val="BodyText"/>
        <w:rPr>
          <w:sz w:val="20"/>
          <w:lang w:val="en-CA"/>
        </w:rPr>
      </w:pPr>
      <w:r>
        <w:rPr>
          <w:sz w:val="20"/>
          <w:lang w:val="en-CA"/>
        </w:rPr>
      </w:r>
    </w:p>
    <w:p>
      <w:pPr>
        <w:pStyle w:val="Normal"/>
        <w:rPr>
          <w:sz w:val="20"/>
          <w:lang w:val="en-CA"/>
        </w:rPr>
      </w:pPr>
      <w:r>
        <w:rPr>
          <w:sz w:val="20"/>
          <w:lang w:val="en-CA"/>
        </w:rPr>
      </w:r>
    </w:p>
    <w:p>
      <w:pPr>
        <w:pStyle w:val="BodyText"/>
        <w:rPr/>
      </w:pPr>
      <w:r>
        <w:rPr/>
      </w:r>
    </w:p>
    <w:p>
      <w:pPr>
        <w:pStyle w:val="Normal"/>
        <w:rPr/>
      </w:pPr>
      <w:r>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Courier New">
    <w:charset w:val="00" w:characterSet="windows-1252"/>
    <w:family w:val="modern"/>
    <w:pitch w:val="default"/>
  </w:font>
  <w:font w:name="CG Times">
    <w:altName w:val="Times New Roman"/>
    <w:charset w:val="00" w:characterSet="windows-1252"/>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lang w:val="en-US"/>
      </w:rPr>
      <w:t>MX-404 EPC Rv 3 Clean ds  (May 15, 00)</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lang w:val="en-US"/>
      </w:rPr>
      <w:t>MX-404 EPC Rv 3 Clean ds  (May 15, 00)</w:t>
      <w:tab/>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lang w:val="en-US"/>
      </w:rPr>
    </w:pPr>
    <w:r>
      <w:rPr>
        <w:sz w:val="18"/>
        <w:lang w:val="en-US"/>
      </w:rPr>
      <w:t>JENNSR/027326.009255</w:t>
      <w:tab/>
    </w: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p>
    <w:pPr>
      <w:pStyle w:val="Footer"/>
      <w:rPr>
        <w:sz w:val="18"/>
        <w:lang w:val="en-US"/>
      </w:rPr>
    </w:pPr>
    <w:r>
      <w:rPr>
        <w:sz w:val="18"/>
        <w:lang w:val="en-US"/>
      </w:rPr>
      <w:t>1026329.6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CA"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sz w:val="16"/>
    </w:rPr>
  </w:style>
  <w:style w:type="character" w:styleId="WW8Num16z0">
    <w:name w:val="WW8Num16z0"/>
    <w:qFormat/>
    <w:rPr>
      <w:rFonts w:ascii="Symbol" w:hAnsi="Symbol" w:cs="Symbol"/>
      <w:sz w:val="16"/>
    </w:rPr>
  </w:style>
  <w:style w:type="character" w:styleId="WW8Num17z0">
    <w:name w:val="WW8Num17z0"/>
    <w:qFormat/>
    <w:rPr>
      <w:rFonts w:ascii="Symbol" w:hAnsi="Symbol" w:cs="Symbol"/>
      <w:sz w:val="16"/>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sz w:val="16"/>
    </w:rPr>
  </w:style>
  <w:style w:type="character" w:styleId="WW8Num21z0">
    <w:name w:val="WW8Num21z0"/>
    <w:qFormat/>
    <w:rPr>
      <w:rFonts w:ascii="Symbol" w:hAnsi="Symbol" w:cs="Symbol"/>
      <w:sz w:val="16"/>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sz w:val="16"/>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sz w:val="16"/>
    </w:rPr>
  </w:style>
  <w:style w:type="character" w:styleId="WW8Num33z0">
    <w:name w:val="WW8Num33z0"/>
    <w:qFormat/>
    <w:rPr>
      <w:rFonts w:ascii="Symbol" w:hAnsi="Symbol" w:cs="Symbol"/>
    </w:rPr>
  </w:style>
  <w:style w:type="character" w:styleId="WW8Num34z0">
    <w:name w:val="WW8Num34z0"/>
    <w:qFormat/>
    <w:rPr>
      <w:rFonts w:ascii="Symbol" w:hAnsi="Symbol" w:cs="Symbol"/>
      <w:sz w:val="24"/>
    </w:rPr>
  </w:style>
  <w:style w:type="character" w:styleId="WW8Num35z0">
    <w:name w:val="WW8Num35z0"/>
    <w:qFormat/>
    <w:rPr>
      <w:rFonts w:ascii="Symbol" w:hAnsi="Symbol" w:cs="Symbol"/>
      <w:color w:val="auto"/>
      <w:sz w:val="16"/>
    </w:rPr>
  </w:style>
  <w:style w:type="character" w:styleId="WW8Num36z0">
    <w:name w:val="WW8Num36z0"/>
    <w:qFormat/>
    <w:rPr/>
  </w:style>
  <w:style w:type="character" w:styleId="WW8Num37z0">
    <w:name w:val="WW8Num37z0"/>
    <w:qFormat/>
    <w:rPr/>
  </w:style>
  <w:style w:type="character" w:styleId="WW8Num38z0">
    <w:name w:val="WW8Num38z0"/>
    <w:qFormat/>
    <w:rPr>
      <w:u w:val="none"/>
    </w:rPr>
  </w:style>
  <w:style w:type="character" w:styleId="WW8Num39z0">
    <w:name w:val="WW8Num39z0"/>
    <w:qFormat/>
    <w:rPr>
      <w:rFonts w:ascii="Symbol" w:hAnsi="Symbol" w:cs="Symbol"/>
      <w:sz w:val="24"/>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u w:val="single"/>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sz w:val="24"/>
    </w:rPr>
  </w:style>
  <w:style w:type="character" w:styleId="WW8Num49z0">
    <w:name w:val="WW8Num49z0"/>
    <w:qFormat/>
    <w:rPr/>
  </w:style>
  <w:style w:type="character" w:styleId="WW8Num50z0">
    <w:name w:val="WW8Num50z0"/>
    <w:qFormat/>
    <w:rPr>
      <w:rFonts w:ascii="Symbol" w:hAnsi="Symbol" w:cs="Symbol"/>
      <w:sz w:val="16"/>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sz w:val="16"/>
    </w:rPr>
  </w:style>
  <w:style w:type="character" w:styleId="WW8Num54z0">
    <w:name w:val="WW8Num54z0"/>
    <w:qFormat/>
    <w:rPr>
      <w:rFonts w:ascii="Symbol" w:hAnsi="Symbol" w:cs="Symbol"/>
      <w:sz w:val="16"/>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sz w:val="16"/>
    </w:rPr>
  </w:style>
  <w:style w:type="character" w:styleId="WW8Num63z0">
    <w:name w:val="WW8Num63z0"/>
    <w:qFormat/>
    <w:rPr>
      <w:rFonts w:ascii="Symbol" w:hAnsi="Symbol" w:cs="Symbol"/>
      <w:sz w:val="16"/>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color w:val="auto"/>
      <w:sz w:val="16"/>
    </w:rPr>
  </w:style>
  <w:style w:type="character" w:styleId="WW8Num67z0">
    <w:name w:val="WW8Num67z0"/>
    <w:qFormat/>
    <w:rPr>
      <w:rFonts w:ascii="Symbol" w:hAnsi="Symbol" w:cs="Symbol"/>
      <w:sz w:val="16"/>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sz w:val="16"/>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8z0">
    <w:name w:val="WW8Num78z0"/>
    <w:qFormat/>
    <w:rPr>
      <w:rFonts w:ascii="Symbol" w:hAnsi="Symbol" w:cs="Symbol"/>
      <w:sz w:val="16"/>
    </w:rPr>
  </w:style>
  <w:style w:type="character" w:styleId="WW8Num79z0">
    <w:name w:val="WW8Num79z0"/>
    <w:qFormat/>
    <w:rPr>
      <w:rFonts w:ascii="Symbol" w:hAnsi="Symbol" w:cs="Symbol"/>
      <w:color w:val="auto"/>
      <w:sz w:val="16"/>
    </w:rPr>
  </w:style>
  <w:style w:type="character" w:styleId="WW8Num80z0">
    <w:name w:val="WW8Num80z0"/>
    <w:qFormat/>
    <w:rPr>
      <w:rFonts w:ascii="Symbol" w:hAnsi="Symbol" w:cs="Symbol"/>
    </w:rPr>
  </w:style>
  <w:style w:type="character" w:styleId="WW8Num81z0">
    <w:name w:val="WW8Num81z0"/>
    <w:qFormat/>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sz w:val="16"/>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sz w:val="16"/>
    </w:rPr>
  </w:style>
  <w:style w:type="character" w:styleId="WW8Num94z0">
    <w:name w:val="WW8Num94z0"/>
    <w:qFormat/>
    <w:rPr>
      <w:rFonts w:ascii="Symbol" w:hAnsi="Symbol" w:cs="Symbol"/>
    </w:rPr>
  </w:style>
  <w:style w:type="character" w:styleId="WW8Num95z0">
    <w:name w:val="WW8Num95z0"/>
    <w:qFormat/>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sz w:val="16"/>
    </w:rPr>
  </w:style>
  <w:style w:type="character" w:styleId="WW8Num100z0">
    <w:name w:val="WW8Num100z0"/>
    <w:qFormat/>
    <w:rPr/>
  </w:style>
  <w:style w:type="character" w:styleId="WW8Num102z0">
    <w:name w:val="WW8Num102z0"/>
    <w:qFormat/>
    <w:rPr>
      <w:rFonts w:ascii="Symbol" w:hAnsi="Symbol" w:cs="Symbol"/>
      <w:sz w:val="16"/>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rFonts w:ascii="Symbol" w:hAnsi="Symbol" w:cs="Symbol"/>
      <w:sz w:val="16"/>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rFonts w:ascii="Symbol" w:hAnsi="Symbol" w:cs="Symbol"/>
      <w:color w:val="auto"/>
      <w:sz w:val="16"/>
    </w:rPr>
  </w:style>
  <w:style w:type="character" w:styleId="WW8Num112z0">
    <w:name w:val="WW8Num112z0"/>
    <w:qFormat/>
    <w:rPr/>
  </w:style>
  <w:style w:type="character" w:styleId="WW8Num113z0">
    <w:name w:val="WW8Num113z0"/>
    <w:qFormat/>
    <w:rPr>
      <w:rFonts w:ascii="Symbol" w:hAnsi="Symbol" w:cs="Symbol"/>
      <w:sz w:val="16"/>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style>
  <w:style w:type="character" w:styleId="WW8Num128z0">
    <w:name w:val="WW8Num128z0"/>
    <w:qFormat/>
    <w:rPr>
      <w:rFonts w:ascii="Symbol" w:hAnsi="Symbol" w:cs="Symbol"/>
    </w:rPr>
  </w:style>
  <w:style w:type="character" w:styleId="WW8Num129z0">
    <w:name w:val="WW8Num129z0"/>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sz w:val="16"/>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rFonts w:ascii="Times New Roman" w:hAnsi="Times New Roman" w:cs="Times New Roman"/>
    </w:rPr>
  </w:style>
  <w:style w:type="character" w:styleId="WW8Num141z0">
    <w:name w:val="WW8Num141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style>
  <w:style w:type="character" w:styleId="WW8Num152z0">
    <w:name w:val="WW8Num152z0"/>
    <w:qFormat/>
    <w:rPr>
      <w:rFonts w:ascii="Symbol" w:hAnsi="Symbol" w:cs="Symbol"/>
      <w:sz w:val="16"/>
    </w:rPr>
  </w:style>
  <w:style w:type="character" w:styleId="WW8Num153z0">
    <w:name w:val="WW8Num153z0"/>
    <w:qFormat/>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sz w:val="16"/>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sz w:val="16"/>
    </w:rPr>
  </w:style>
  <w:style w:type="character" w:styleId="WW8Num160z0">
    <w:name w:val="WW8Num160z0"/>
    <w:qFormat/>
    <w:rPr>
      <w:rFonts w:ascii="Symbol" w:hAnsi="Symbol" w:cs="Symbol"/>
      <w:sz w:val="16"/>
    </w:rPr>
  </w:style>
  <w:style w:type="character" w:styleId="WW8Num161z0">
    <w:name w:val="WW8Num161z0"/>
    <w:qFormat/>
    <w:rPr>
      <w:rFonts w:ascii="Symbol" w:hAnsi="Symbol" w:cs="Symbol"/>
      <w:sz w:val="16"/>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sz w:val="24"/>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sz w:val="16"/>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sz w:val="16"/>
    </w:rPr>
  </w:style>
  <w:style w:type="character" w:styleId="WW8Num184z0">
    <w:name w:val="WW8Num184z0"/>
    <w:qFormat/>
    <w:rPr/>
  </w:style>
  <w:style w:type="character" w:styleId="WW8Num185z0">
    <w:name w:val="WW8Num185z0"/>
    <w:qFormat/>
    <w:rPr/>
  </w:style>
  <w:style w:type="character" w:styleId="WW8Num186z0">
    <w:name w:val="WW8Num186z0"/>
    <w:qFormat/>
    <w:rPr>
      <w:rFonts w:ascii="Symbol" w:hAnsi="Symbol" w:cs="Symbol"/>
      <w:sz w:val="16"/>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Symbol" w:hAnsi="Symbol" w:cs="Symbol"/>
      <w:sz w:val="16"/>
    </w:rPr>
  </w:style>
  <w:style w:type="character" w:styleId="WW8Num193z0">
    <w:name w:val="WW8Num193z0"/>
    <w:qFormat/>
    <w:rPr>
      <w:rFonts w:ascii="Symbol" w:hAnsi="Symbol" w:cs="Symbol"/>
      <w:sz w:val="16"/>
    </w:rPr>
  </w:style>
  <w:style w:type="character" w:styleId="WW8Num194z0">
    <w:name w:val="WW8Num194z0"/>
    <w:qFormat/>
    <w:rPr>
      <w:rFonts w:ascii="Symbol" w:hAnsi="Symbol" w:cs="Symbol"/>
    </w:rPr>
  </w:style>
  <w:style w:type="character" w:styleId="WW8Num195z0">
    <w:name w:val="WW8Num195z0"/>
    <w:qFormat/>
    <w:rPr>
      <w:u w:val="single"/>
    </w:rPr>
  </w:style>
  <w:style w:type="character" w:styleId="WW8Num196z0">
    <w:name w:val="WW8Num196z0"/>
    <w:qFormat/>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style>
  <w:style w:type="character" w:styleId="WW8Num201z0">
    <w:name w:val="WW8Num201z0"/>
    <w:qFormat/>
    <w:rPr>
      <w:rFonts w:ascii="Symbol" w:hAnsi="Symbol" w:cs="Symbol"/>
      <w:sz w:val="16"/>
    </w:rPr>
  </w:style>
  <w:style w:type="character" w:styleId="WW8Num202z0">
    <w:name w:val="WW8Num202z0"/>
    <w:qFormat/>
    <w:rPr>
      <w:i w:val="false"/>
    </w:rPr>
  </w:style>
  <w:style w:type="character" w:styleId="WW8Num203z0">
    <w:name w:val="WW8Num203z0"/>
    <w:qFormat/>
    <w:rPr>
      <w:rFonts w:ascii="Symbol" w:hAnsi="Symbol" w:cs="Symbol"/>
      <w:sz w:val="16"/>
    </w:rPr>
  </w:style>
  <w:style w:type="character" w:styleId="WW8Num204z0">
    <w:name w:val="WW8Num204z0"/>
    <w:qFormat/>
    <w:rPr>
      <w:rFonts w:ascii="Symbol" w:hAnsi="Symbol" w:cs="Symbol"/>
      <w:sz w:val="16"/>
    </w:rPr>
  </w:style>
  <w:style w:type="character" w:styleId="WW8Num205z0">
    <w:name w:val="WW8Num205z0"/>
    <w:qFormat/>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style>
  <w:style w:type="character" w:styleId="WW8Num209z0">
    <w:name w:val="WW8Num209z0"/>
    <w:qFormat/>
    <w:rPr>
      <w:rFonts w:ascii="Symbol" w:hAnsi="Symbol" w:cs="Symbol"/>
      <w:sz w:val="16"/>
    </w:rPr>
  </w:style>
  <w:style w:type="character" w:styleId="WW8Num211z0">
    <w:name w:val="WW8Num211z0"/>
    <w:qFormat/>
    <w:rPr>
      <w:rFonts w:ascii="Symbol" w:hAnsi="Symbol" w:cs="Symbol"/>
      <w:sz w:val="16"/>
    </w:rPr>
  </w:style>
  <w:style w:type="character" w:styleId="WW8Num212z0">
    <w:name w:val="WW8Num212z0"/>
    <w:qFormat/>
    <w:rPr>
      <w:b w:val="false"/>
    </w:rPr>
  </w:style>
  <w:style w:type="character" w:styleId="WW8Num213z0">
    <w:name w:val="WW8Num213z0"/>
    <w:qFormat/>
    <w:rPr>
      <w:rFonts w:ascii="Symbol" w:hAnsi="Symbol" w:cs="Symbol"/>
      <w:sz w:val="16"/>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rFonts w:ascii="Symbol" w:hAnsi="Symbol" w:cs="Symbol"/>
      <w:sz w:val="16"/>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style>
  <w:style w:type="character" w:styleId="WW8Num221z0">
    <w:name w:val="WW8Num221z0"/>
    <w:qFormat/>
    <w:rPr>
      <w:rFonts w:ascii="Symbol" w:hAnsi="Symbol" w:cs="Symbol"/>
      <w:sz w:val="16"/>
    </w:rPr>
  </w:style>
  <w:style w:type="character" w:styleId="WW8Num222z0">
    <w:name w:val="WW8Num222z0"/>
    <w:qFormat/>
    <w:rPr>
      <w:rFonts w:ascii="Symbol" w:hAnsi="Symbol" w:cs="Symbol"/>
    </w:rPr>
  </w:style>
  <w:style w:type="character" w:styleId="WW8Num224z0">
    <w:name w:val="WW8Num224z0"/>
    <w:qFormat/>
    <w:rPr>
      <w:rFonts w:ascii="Symbol" w:hAnsi="Symbol" w:cs="Symbol"/>
      <w:color w:val="auto"/>
      <w:sz w:val="16"/>
    </w:rPr>
  </w:style>
  <w:style w:type="character" w:styleId="WW8Num225z0">
    <w:name w:val="WW8Num225z0"/>
    <w:qFormat/>
    <w:rPr/>
  </w:style>
  <w:style w:type="character" w:styleId="WW8Num226z0">
    <w:name w:val="WW8Num226z0"/>
    <w:qFormat/>
    <w:rPr>
      <w:rFonts w:ascii="Symbol" w:hAnsi="Symbol" w:cs="Symbol"/>
      <w:sz w:val="16"/>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rFonts w:ascii="Symbol" w:hAnsi="Symbol" w:cs="Symbol"/>
      <w:sz w:val="16"/>
    </w:rPr>
  </w:style>
  <w:style w:type="character" w:styleId="WW8Num231z0">
    <w:name w:val="WW8Num231z0"/>
    <w:qFormat/>
    <w:rPr>
      <w:rFonts w:ascii="Symbol" w:hAnsi="Symbol" w:cs="Symbol"/>
    </w:rPr>
  </w:style>
  <w:style w:type="character" w:styleId="WW8Num232z0">
    <w:name w:val="WW8Num232z0"/>
    <w:qFormat/>
    <w:rPr>
      <w:rFonts w:ascii="Symbol" w:hAnsi="Symbol" w:cs="Symbol"/>
      <w:sz w:val="16"/>
    </w:rPr>
  </w:style>
  <w:style w:type="character" w:styleId="WW8NumSt50z0">
    <w:name w:val="WW8NumSt50z0"/>
    <w:qFormat/>
    <w:rPr>
      <w:rFonts w:ascii="Symbol" w:hAnsi="Symbol" w:cs="Symbol"/>
    </w:rPr>
  </w:style>
  <w:style w:type="character" w:styleId="WW8NumSt52z0">
    <w:name w:val="WW8NumSt52z0"/>
    <w:qFormat/>
    <w:rPr>
      <w:rFonts w:ascii="Symbol" w:hAnsi="Symbol" w:cs="Symbol"/>
      <w:sz w:val="12"/>
    </w:rPr>
  </w:style>
  <w:style w:type="character" w:styleId="WW8NumSt59z0">
    <w:name w:val="WW8NumSt59z0"/>
    <w:qFormat/>
    <w:rPr>
      <w:rFonts w:ascii="Symbol" w:hAnsi="Symbol" w:cs="Symbol"/>
    </w:rPr>
  </w:style>
  <w:style w:type="character" w:styleId="WW8NumSt60z0">
    <w:name w:val="WW8NumSt60z0"/>
    <w:qFormat/>
    <w:rPr>
      <w:rFonts w:ascii="Symbol" w:hAnsi="Symbol" w:cs="Symbol"/>
    </w:rPr>
  </w:style>
  <w:style w:type="character" w:styleId="WW8NumSt61z0">
    <w:name w:val="WW8NumSt61z0"/>
    <w:qFormat/>
    <w:rPr>
      <w:rFonts w:ascii="Symbol" w:hAnsi="Symbol" w:cs="Symbol"/>
    </w:rPr>
  </w:style>
  <w:style w:type="character" w:styleId="WW8NumSt105z0">
    <w:name w:val="WW8NumSt105z0"/>
    <w:qFormat/>
    <w:rPr>
      <w:rFonts w:ascii="Symbol" w:hAnsi="Symbol" w:cs="Symbol"/>
    </w:rPr>
  </w:style>
  <w:style w:type="character" w:styleId="WW8NumSt183z0">
    <w:name w:val="WW8NumSt183z0"/>
    <w:qFormat/>
    <w:rPr>
      <w:rFonts w:ascii="Symbol" w:hAnsi="Symbol" w:cs="Symbol"/>
      <w:sz w:val="16"/>
    </w:rPr>
  </w:style>
  <w:style w:type="character" w:styleId="WW8NumSt184z0">
    <w:name w:val="WW8NumSt184z0"/>
    <w:qFormat/>
    <w:rPr>
      <w:rFonts w:ascii="Symbol" w:hAnsi="Symbol" w:cs="Symbol"/>
      <w:sz w:val="16"/>
    </w:rPr>
  </w:style>
  <w:style w:type="character" w:styleId="WW8NumSt212z0">
    <w:name w:val="WW8NumSt212z0"/>
    <w:qFormat/>
    <w:rPr>
      <w:rFonts w:ascii="Symbol" w:hAnsi="Symbol" w:cs="Symbol"/>
    </w:rPr>
  </w:style>
  <w:style w:type="character" w:styleId="WW8NumSt217z0">
    <w:name w:val="WW8NumSt217z0"/>
    <w:qFormat/>
    <w:rPr>
      <w:rFonts w:ascii="WP MathA" w:hAnsi="WP MathA" w:cs="WP MathA"/>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LP2">
    <w:name w:val="L&amp;P 2"/>
    <w:basedOn w:val="DefaultParagraphFont"/>
    <w:qForma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rFonts w:ascii="Arial" w:hAnsi="Arial" w:cs="Arial"/>
      <w:sz w:val="34"/>
      <w:lang w:val="en-US" w:eastAsia="en-US"/>
    </w:rPr>
  </w:style>
  <w:style w:type="paragraph" w:styleId="BodyText">
    <w:name w:val="Body Text"/>
    <w:basedOn w:val="Normal"/>
    <w:pPr>
      <w:jc w:val="both"/>
    </w:pPr>
    <w:rPr>
      <w:sz w:val="23"/>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3"/>
      <w:lang w:val="en-US"/>
    </w:rPr>
  </w:style>
  <w:style w:type="paragraph" w:styleId="BodyTextIndent2">
    <w:name w:val="Body Text Indent 2"/>
    <w:basedOn w:val="Normal"/>
    <w:qFormat/>
    <w:pPr>
      <w:tabs>
        <w:tab w:val="clear" w:pos="720"/>
        <w:tab w:val="left" w:pos="2340" w:leader="none"/>
        <w:tab w:val="left" w:pos="2520" w:leader="none"/>
      </w:tabs>
      <w:ind w:firstLine="720" w:start="720" w:end="0"/>
      <w:jc w:val="both"/>
    </w:pPr>
    <w:rPr>
      <w:sz w:val="23"/>
      <w:lang w:val="en-US"/>
    </w:rPr>
  </w:style>
  <w:style w:type="paragraph" w:styleId="BodyTextIndent3">
    <w:name w:val="Body Text Indent 3"/>
    <w:basedOn w:val="Normal"/>
    <w:qFormat/>
    <w:pPr>
      <w:ind w:firstLine="720" w:start="720" w:end="0"/>
      <w:jc w:val="both"/>
    </w:pPr>
    <w:rPr>
      <w:sz w:val="23"/>
      <w:lang w:val="en-US"/>
    </w:rPr>
  </w:style>
  <w:style w:type="paragraph" w:styleId="CommentText">
    <w:name w:val="Comment Text"/>
    <w:basedOn w:val="Normal"/>
    <w:qFormat/>
    <w:pPr/>
    <w:rPr/>
  </w:style>
  <w:style w:type="paragraph" w:styleId="PlainText">
    <w:name w:val="Plain Text"/>
    <w:basedOn w:val="Normal"/>
    <w:qFormat/>
    <w:pPr/>
    <w:rPr>
      <w:rFonts w:ascii="Courier New" w:hAnsi="Courier New" w:cs="Courier New"/>
      <w:lang w:val="en-US"/>
    </w:rPr>
  </w:style>
  <w:style w:type="paragraph" w:styleId="FootnoteText">
    <w:name w:val="footnote text"/>
    <w:basedOn w:val="Normal"/>
    <w:pPr/>
    <w:rPr>
      <w:lang w:val="en-US"/>
    </w:rPr>
  </w:style>
  <w:style w:type="paragraph" w:styleId="TOC1">
    <w:name w:val="toc 1"/>
    <w:basedOn w:val="Normal"/>
    <w:next w:val="Normal"/>
    <w:pPr>
      <w:tabs>
        <w:tab w:val="clear" w:pos="720"/>
        <w:tab w:val="right" w:pos="9350" w:leader="dot"/>
      </w:tabs>
      <w:ind w:hanging="630" w:start="630" w:end="0"/>
    </w:pPr>
    <w:rPr>
      <w:rFonts w:ascii="Arial" w:hAnsi="Arial" w:cs="Arial"/>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EndnoteText">
    <w:name w:val="end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Style5">
    <w:name w:val="_"/>
    <w:basedOn w:val="Normal"/>
    <w:qFormat/>
    <w:pPr>
      <w:widowControl w:val="false"/>
      <w:ind w:hanging="720" w:start="720" w:end="0"/>
    </w:pPr>
    <w:rPr>
      <w:rFonts w:ascii="Arial" w:hAnsi="Arial" w:cs="Arial"/>
      <w:sz w:val="24"/>
      <w:lang w:val="en-US" w:eastAsia="en-US"/>
    </w:rPr>
  </w:style>
  <w:style w:type="paragraph" w:styleId="Technical4">
    <w:name w:val="Technical 4"/>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eastAsia="en-US" w:bidi="hi-IN"/>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pPr>
    <w:rPr>
      <w:rFonts w:ascii="CG Times (WN)" w:hAnsi="CG Times (WN)" w:cs="CG Times (WN)"/>
      <w:sz w:val="24"/>
      <w:lang w:val="en-US" w:eastAsia="en-US"/>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hanging="0" w:start="1440" w:end="0"/>
    </w:pPr>
    <w:rPr>
      <w:rFonts w:ascii="CG Times (WN)" w:hAnsi="CG Times (WN)" w:cs="CG Times (WN)"/>
      <w:spacing w:val="-3"/>
      <w:sz w:val="24"/>
      <w:lang w:val="en-US" w:eastAsia="en-US"/>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cs="CG Times (WN)"/>
      <w:b/>
      <w:sz w:val="24"/>
      <w:lang w:val="en-US" w:eastAsia="en-US"/>
    </w:rPr>
  </w:style>
  <w:style w:type="paragraph" w:styleId="BodyText2">
    <w:name w:val="Body Text 2"/>
    <w:basedOn w:val="Normal"/>
    <w:qFormat/>
    <w:pPr/>
    <w:rPr>
      <w:rFonts w:ascii="Arial" w:hAnsi="Arial" w:cs="Arial"/>
      <w:u w:val="single"/>
      <w:lang w:val="en-US"/>
    </w:rPr>
  </w:style>
  <w:style w:type="paragraph" w:styleId="BodyText3">
    <w:name w:val="Body Text 3"/>
    <w:basedOn w:val="Normal"/>
    <w:qFormat/>
    <w:pPr>
      <w:jc w:val="both"/>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Style1toc">
    <w:name w:val="Style1 (toc)"/>
    <w:basedOn w:val="BodyText"/>
    <w:qFormat/>
    <w:pPr>
      <w:keepLines w:val="false"/>
      <w:jc w:val="center"/>
    </w:pPr>
    <w:rPr>
      <w:u w:val="single"/>
    </w:rPr>
  </w:style>
  <w:style w:type="paragraph" w:styleId="Style2toc">
    <w:name w:val="Style2 (toc)"/>
    <w:basedOn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2000-06-09T13:23:00Z</dcterms:created>
  <dc:creator>mdoucett</dc:creator>
  <dc:description/>
  <dc:language>en-CA</dc:language>
  <cp:lastModifiedBy>Bracewell &amp; Patterson, LLP</cp:lastModifiedBy>
  <cp:lastPrinted>2000-04-26T10:36:00Z</cp:lastPrinted>
  <dcterms:modified xsi:type="dcterms:W3CDTF">2000-06-09T13:23:00Z</dcterms:modified>
  <cp:revision>2</cp:revision>
  <dc:subject/>
  <dc:title>ENGINEERING, PROCUREMENT, AND CONSTRUCTION CONTRACT</dc:title>
</cp:coreProperties>
</file>