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TRANSLATION</w:t>
      </w:r>
    </w:p>
    <w:p>
      <w:pPr>
        <w:pStyle w:val="Normal"/>
        <w:jc w:val="both"/>
        <w:rPr>
          <w:b/>
          <w:sz w:val="24"/>
          <w:u w:val="single"/>
        </w:rPr>
      </w:pPr>
      <w:r>
        <w:rPr>
          <w:b/>
          <w:sz w:val="24"/>
          <w:u w:val="single"/>
        </w:rPr>
      </w:r>
    </w:p>
    <w:p>
      <w:pPr>
        <w:pStyle w:val="Normal"/>
        <w:jc w:val="both"/>
        <w:rPr>
          <w:b/>
          <w:sz w:val="24"/>
          <w:u w:val="single"/>
        </w:rPr>
      </w:pPr>
      <w:r>
        <w:rPr>
          <w:b/>
          <w:sz w:val="24"/>
          <w:u w:val="single"/>
        </w:rPr>
      </w:r>
    </w:p>
    <w:p>
      <w:pPr>
        <w:pStyle w:val="Normal"/>
        <w:jc w:val="both"/>
        <w:rPr/>
      </w:pPr>
      <w:r>
        <w:rPr>
          <w:b/>
          <w:sz w:val="24"/>
          <w:u w:val="single"/>
        </w:rPr>
        <w:t xml:space="preserve">Minutes of Board of Directors Meeting No. 87: </w:t>
      </w:r>
      <w:r>
        <w:rPr>
          <w:sz w:val="24"/>
        </w:rPr>
        <w:t xml:space="preserve">  In the City of Buenos Aires, on the 14</w:t>
      </w:r>
      <w:r>
        <w:rPr>
          <w:sz w:val="24"/>
          <w:vertAlign w:val="superscript"/>
        </w:rPr>
        <w:t>th</w:t>
      </w:r>
      <w:r>
        <w:rPr>
          <w:sz w:val="24"/>
        </w:rPr>
        <w:t xml:space="preserve"> of January of 2000, at 10:00 a.m., the Board of Directors of Enron Pipeline Company Argentina S.A., met at its headquarters in Av. Madero 900, 7</w:t>
      </w:r>
      <w:r>
        <w:rPr>
          <w:sz w:val="24"/>
          <w:vertAlign w:val="superscript"/>
        </w:rPr>
        <w:t>th</w:t>
      </w:r>
      <w:r>
        <w:rPr>
          <w:sz w:val="24"/>
        </w:rPr>
        <w:t xml:space="preserve"> Floor, City of Buenos Aires.  Mr. Eduardo María Ojea Quintana, President of the Company, presided over the meeting, recording the presence of  a quorum, and declared the meeting open.</w:t>
      </w:r>
    </w:p>
    <w:p>
      <w:pPr>
        <w:pStyle w:val="Normal"/>
        <w:jc w:val="both"/>
        <w:rPr>
          <w:sz w:val="24"/>
        </w:rPr>
      </w:pPr>
      <w:r>
        <w:rPr>
          <w:sz w:val="24"/>
        </w:rPr>
      </w:r>
    </w:p>
    <w:p>
      <w:pPr>
        <w:pStyle w:val="BodyText"/>
        <w:jc w:val="both"/>
        <w:rPr/>
      </w:pPr>
      <w:r>
        <w:rPr/>
        <w:t>The President reported that, in order to facilitate investments as set forth in the company’s objective, it is appropriate to open brokerage accounts, as well as to appoint the persons (directors of the Company and officers of the companies affiliated with it), so that in name and representation of the Company, they may grant and execute any act required for the opening and functioning of said accounts and any other actions which are indicated in the following resolutions.</w:t>
      </w:r>
    </w:p>
    <w:p>
      <w:pPr>
        <w:pStyle w:val="Normal"/>
        <w:jc w:val="both"/>
        <w:rPr>
          <w:sz w:val="24"/>
        </w:rPr>
      </w:pPr>
      <w:r>
        <w:rPr>
          <w:sz w:val="24"/>
        </w:rPr>
      </w:r>
    </w:p>
    <w:p>
      <w:pPr>
        <w:pStyle w:val="Normal"/>
        <w:jc w:val="both"/>
        <w:rPr>
          <w:sz w:val="24"/>
        </w:rPr>
      </w:pPr>
      <w:r>
        <w:rPr>
          <w:sz w:val="24"/>
        </w:rPr>
        <w:t>Upon consideration of the matter, the Board of Directors unanimously RESOLVED:</w:t>
      </w:r>
    </w:p>
    <w:p>
      <w:pPr>
        <w:pStyle w:val="Normal"/>
        <w:jc w:val="center"/>
        <w:rPr>
          <w:b/>
          <w:sz w:val="24"/>
        </w:rPr>
      </w:pPr>
      <w:r>
        <w:rPr>
          <w:b/>
          <w:sz w:val="24"/>
        </w:rPr>
      </w:r>
    </w:p>
    <w:p>
      <w:pPr>
        <w:pStyle w:val="Normal"/>
        <w:ind w:firstLine="720" w:start="720" w:end="720"/>
        <w:jc w:val="both"/>
        <w:rPr/>
      </w:pPr>
      <w:r>
        <w:rPr>
          <w:sz w:val="24"/>
        </w:rPr>
        <w:t xml:space="preserve">1) </w:t>
      </w:r>
      <w:r>
        <w:rPr>
          <w:b/>
          <w:sz w:val="24"/>
        </w:rPr>
        <w:t xml:space="preserve"> </w:t>
      </w:r>
      <w:r>
        <w:rPr>
          <w:sz w:val="24"/>
        </w:rPr>
        <w:t>that any one of (i) James V. Derrick, Jr., James M. Bannantine, Diomedes Christodoulou, Joseph G. Kishkill or J. Scott Porter or (ii) the following officers of Enron South America LLC: Peter E. Weidler, K. George Wasaff, Robert G. Gay or Connie F. Estrems</w:t>
      </w:r>
      <w:r>
        <w:rPr>
          <w:b/>
          <w:sz w:val="24"/>
        </w:rPr>
        <w:t xml:space="preserve">, </w:t>
      </w:r>
      <w:r>
        <w:rPr>
          <w:sz w:val="24"/>
        </w:rPr>
        <w:t xml:space="preserve">acting together with any one of (i) the Vice President and General Counsel of Enron South America LLC, (ii) the Executive Vice President and Chief Risk Officer of Enron Corp., (iii) Theodore R. Murphy, Vice President of Risk Assessment and Control Group, a division of Enron Corp. or (iv) Richard B. Buy, Executive Vice President and Chief Risk Officer of Enron Corp., is authorized and empowered, for and in the name and on behalf of the Company, to establish and maintain one or more accounts (each an “Account”) (which may be margin accounts) with such brokerage firms as such officers may deem desirable for the purpose of purchasing, investing in, or otherwise acquiring, selling (including short sales), possessing, transferring, exchanging, pledging or otherwise disposing of, or realizing upon, and generally dealing in and with physical commodities, commodity futures, commodity options (on futures and physical), forward contracts, securities and financial instruments; to execute any and all documents and agreements with such brokerage firms in connection therewith; and generally to do and take all action necessary in connection with the accounts, or considered desirable by such officers with respect thereto; </w:t>
      </w:r>
    </w:p>
    <w:p>
      <w:pPr>
        <w:pStyle w:val="Normal"/>
        <w:ind w:firstLine="720" w:start="720" w:end="720"/>
        <w:jc w:val="both"/>
        <w:rPr>
          <w:sz w:val="24"/>
        </w:rPr>
      </w:pPr>
      <w:r>
        <w:rPr>
          <w:sz w:val="24"/>
        </w:rPr>
      </w:r>
    </w:p>
    <w:p>
      <w:pPr>
        <w:pStyle w:val="BodyTextIndent"/>
        <w:ind w:start="720" w:end="720"/>
        <w:rPr/>
      </w:pPr>
      <w:r>
        <w:rPr/>
        <w:t>2)  that (i)any one of James V. Derrick, Jr., James M. Bannantine, Diomedes Christodoulou, Joseph G. Kishkill or J. Scott Porter, (ii) the following officers of Enron South America LLC: Peter E. Weidler, K. George Wasaff, Robert G. Gay or Connie F. Estrems, (iii) the Executive Vice President and Chief Risk Officer of Enron Corp., or (iv) Theodore R. Murphy, Vice President of Risk Assessment and Control Group, a division of Enron Corp., is specifically authorized to open subaccounts with respect to such accounts upon written instructions to such brokers with whom accounts have been established hereunder;</w:t>
      </w:r>
    </w:p>
    <w:p>
      <w:pPr>
        <w:pStyle w:val="Normal"/>
        <w:ind w:firstLine="720" w:start="720" w:end="720"/>
        <w:jc w:val="both"/>
        <w:rPr>
          <w:sz w:val="24"/>
        </w:rPr>
      </w:pPr>
      <w:r>
        <w:rPr>
          <w:sz w:val="24"/>
        </w:rPr>
      </w:r>
    </w:p>
    <w:p>
      <w:pPr>
        <w:pStyle w:val="BodyTextIndent"/>
        <w:ind w:start="720" w:end="720"/>
        <w:rPr/>
      </w:pPr>
      <w:r>
        <w:rPr/>
        <w:t>3) that brokerage firms with whom accounts may be established hereunder may deal with such other persons as may be designated from time to time by (i) James V. Derrick, Jr., James M. Bannantine, Diomedes Christodoulou, Joseph G. Kishkill or J. Scott Porter, (ii) the Executive Vice President and Chief Risk Officer of Enron Corp., or (iii) Theodore R. Murphy, Vice President of Risk Assessment and Control Group, a division of Enron Corp., as though they were dealing with the Company directly and may rely upon any certification given in accordance with these resolutions;</w:t>
      </w:r>
    </w:p>
    <w:p>
      <w:pPr>
        <w:pStyle w:val="Normal"/>
        <w:ind w:firstLine="720" w:start="720" w:end="720"/>
        <w:jc w:val="both"/>
        <w:rPr>
          <w:sz w:val="24"/>
        </w:rPr>
      </w:pPr>
      <w:r>
        <w:rPr>
          <w:sz w:val="24"/>
        </w:rPr>
      </w:r>
    </w:p>
    <w:p>
      <w:pPr>
        <w:pStyle w:val="Normal"/>
        <w:ind w:firstLine="720" w:start="720" w:end="720"/>
        <w:jc w:val="both"/>
        <w:rPr>
          <w:sz w:val="24"/>
        </w:rPr>
      </w:pPr>
      <w:r>
        <w:rPr>
          <w:sz w:val="24"/>
        </w:rPr>
        <w:t>4)  that (i) any one of James V. Derrick, Jr., James M. Bannantine, Diomedes Christodoulou, Joseph G. Kishkill or J. Scott Porter (ii) the Executive Vice President and Chief Risk Officer of Enron Corp., (iii) Theodore R. Murphy, Vice President of Risk Assessment and Control Group, a division of Enron Corp., or (iv) any Secretary or Assistant Secretary of the Company is authorized, empowered and directed to certify to such brokers with whom accounts may be established hereunder, specimen signatures of each and every person empowered by these resolutions;</w:t>
      </w:r>
    </w:p>
    <w:p>
      <w:pPr>
        <w:pStyle w:val="Normal"/>
        <w:ind w:firstLine="720" w:start="720" w:end="720"/>
        <w:jc w:val="both"/>
        <w:rPr>
          <w:sz w:val="24"/>
        </w:rPr>
      </w:pPr>
      <w:r>
        <w:rPr>
          <w:sz w:val="24"/>
        </w:rPr>
      </w:r>
    </w:p>
    <w:p>
      <w:pPr>
        <w:pStyle w:val="Normal"/>
        <w:ind w:firstLine="720" w:start="720" w:end="720"/>
        <w:jc w:val="both"/>
        <w:rPr>
          <w:sz w:val="24"/>
        </w:rPr>
      </w:pPr>
      <w:r>
        <w:rPr>
          <w:sz w:val="24"/>
        </w:rPr>
        <w:t>5) that (i) any one of James V. Derrick, Jr., James M. Bannantine, Diomedes Christodoulou, Joseph G. Kishkill or J. Scott Porter, or (ii) the following officers of Enron South America LLC: Peter E. Weidler, K. George Wasaff, Robert G. Gay or Connie F. Estrems be, and each of them hereby is authorized, empowered, and directed (any one of them acting alone), to take all such further action, to amend, execute and deliver all such further certificates, instruments, and documents, and to pay all such expenses, for and in the name and on behalf of the Company, under the corporate seal or otherwise, as such officer, agent or counsel of the Company may deem necessary, appropriate, or advisable in order to effectuate or carry out the purpose and intentions of this and the foregoing resolutions and to observe and perform the obligations, conditions, covenants and other terms set forth in the agreements authorized by these resolutions as the same may be amended from time to time as hereby provided.</w:t>
      </w:r>
    </w:p>
    <w:p>
      <w:pPr>
        <w:pStyle w:val="Normal"/>
        <w:ind w:firstLine="720" w:start="720" w:end="720"/>
        <w:jc w:val="both"/>
        <w:rPr>
          <w:sz w:val="24"/>
        </w:rPr>
      </w:pPr>
      <w:r>
        <w:rPr>
          <w:sz w:val="24"/>
        </w:rPr>
      </w:r>
    </w:p>
    <w:p>
      <w:pPr>
        <w:pStyle w:val="Normal"/>
        <w:ind w:firstLine="720" w:start="720" w:end="720"/>
        <w:jc w:val="center"/>
        <w:rPr>
          <w:b/>
          <w:sz w:val="24"/>
        </w:rPr>
      </w:pPr>
      <w:r>
        <w:rPr>
          <w:b/>
          <w:sz w:val="24"/>
        </w:rPr>
        <w:t>EFFECTIVENESS</w:t>
      </w:r>
    </w:p>
    <w:p>
      <w:pPr>
        <w:pStyle w:val="Normal"/>
        <w:ind w:firstLine="720" w:start="720" w:end="720"/>
        <w:jc w:val="center"/>
        <w:rPr>
          <w:b/>
          <w:sz w:val="24"/>
        </w:rPr>
      </w:pPr>
      <w:r>
        <w:rPr>
          <w:b/>
          <w:sz w:val="24"/>
        </w:rPr>
      </w:r>
    </w:p>
    <w:p>
      <w:pPr>
        <w:pStyle w:val="Normal"/>
        <w:ind w:firstLine="720" w:start="720" w:end="720"/>
        <w:jc w:val="both"/>
        <w:rPr>
          <w:sz w:val="24"/>
        </w:rPr>
      </w:pPr>
      <w:r>
        <w:rPr>
          <w:sz w:val="24"/>
        </w:rPr>
        <w:t>IT IS FURTHER RESOLVED, that the foregoing resolutions shall supersede any prior resolutions dealing with the subject matter covered herein and shall remain in full force and effect in all respects until the close of business on the day after a brokerage firm receives written notice of the modification or revocation thereof.</w:t>
      </w:r>
    </w:p>
    <w:p>
      <w:pPr>
        <w:pStyle w:val="Normal"/>
        <w:ind w:firstLine="720" w:start="720" w:end="720"/>
        <w:jc w:val="both"/>
        <w:rPr>
          <w:sz w:val="24"/>
        </w:rPr>
      </w:pPr>
      <w:r>
        <w:rPr>
          <w:sz w:val="24"/>
        </w:rPr>
      </w:r>
    </w:p>
    <w:p>
      <w:pPr>
        <w:pStyle w:val="BodyText2"/>
        <w:rPr/>
      </w:pPr>
      <w:r>
        <w:rPr/>
        <w:t>At 10:30 a.m., with no further matters to discuss, the present minutes were drawn up, which are hereby signed.</w:t>
      </w:r>
    </w:p>
    <w:p>
      <w:pPr>
        <w:pStyle w:val="Normal"/>
        <w:rPr/>
      </w:pPr>
      <w:r>
        <w:rPr/>
      </w:r>
    </w:p>
    <w:p>
      <w:pPr>
        <w:pStyle w:val="Normal"/>
        <w:rPr/>
      </w:pPr>
      <w:r>
        <w:rPr/>
      </w:r>
    </w:p>
    <w:p>
      <w:pPr>
        <w:pStyle w:val="Normal"/>
        <w:rPr/>
      </w:pPr>
      <w:r>
        <w:rPr/>
        <w:tab/>
        <w:tab/>
        <w:tab/>
        <w:tab/>
        <w:tab/>
        <w:tab/>
        <w:t>[signatures]</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sz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z w:val="24"/>
    </w:rPr>
  </w:style>
  <w:style w:type="paragraph" w:styleId="BodyText2">
    <w:name w:val="Body Text 2"/>
    <w:basedOn w:val="Normal"/>
    <w:qFormat/>
    <w:pPr>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2000-01-17T11:36:00Z</dcterms:created>
  <dc:creator>EI</dc:creator>
  <dc:description/>
  <dc:language>en-CA</dc:language>
  <cp:lastModifiedBy>EI</cp:lastModifiedBy>
  <dcterms:modified xsi:type="dcterms:W3CDTF">2000-01-18T10:38:00Z</dcterms:modified>
  <cp:revision>4</cp:revision>
  <dc:subject/>
  <dc:title>OPENING OF BROKERAGE ACCOUNT(S):</dc:title>
</cp:coreProperties>
</file>