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260" w:leader="none"/>
          <w:tab w:val="left" w:pos="10080" w:leader="none"/>
        </w:tabs>
        <w:ind w:end="-90"/>
        <w:rPr>
          <w:sz w:val="24"/>
        </w:rPr>
      </w:pPr>
      <w:r>
        <w:rPr>
          <w:sz w:val="24"/>
        </w:rPr>
        <w:t>Draft 2/23/00</w:t>
      </w:r>
    </w:p>
    <w:p>
      <w:pPr>
        <w:pStyle w:val="Normal"/>
        <w:tabs>
          <w:tab w:val="clear" w:pos="720"/>
          <w:tab w:val="left" w:pos="1260" w:leader="none"/>
          <w:tab w:val="left" w:pos="10080" w:leader="none"/>
        </w:tabs>
        <w:ind w:end="-90"/>
        <w:rPr>
          <w:sz w:val="24"/>
        </w:rPr>
      </w:pPr>
      <w:r>
        <w:rPr>
          <w:sz w:val="24"/>
        </w:rPr>
        <w:t>1:10 PM</w:t>
      </w:r>
    </w:p>
    <w:p>
      <w:pPr>
        <w:pStyle w:val="Heading1"/>
        <w:tabs>
          <w:tab w:val="clear" w:pos="720"/>
          <w:tab w:val="clear" w:pos="6480"/>
          <w:tab w:val="left" w:pos="1260" w:leader="none"/>
          <w:tab w:val="left" w:pos="6030" w:leader="none"/>
          <w:tab w:val="left" w:pos="6750" w:leader="none"/>
          <w:tab w:val="left" w:pos="7200" w:leader="none"/>
          <w:tab w:val="left" w:pos="10080" w:leader="none"/>
        </w:tabs>
        <w:ind w:hanging="0" w:start="7380" w:end="-90"/>
        <w:jc w:val="start"/>
        <w:rPr>
          <w:sz w:val="24"/>
        </w:rPr>
      </w:pPr>
      <w:r>
        <w:rPr>
          <w:sz w:val="24"/>
        </w:rPr>
      </w:r>
    </w:p>
    <w:p>
      <w:pPr>
        <w:pStyle w:val="Heading1"/>
        <w:tabs>
          <w:tab w:val="clear" w:pos="720"/>
          <w:tab w:val="clear" w:pos="6480"/>
          <w:tab w:val="left" w:pos="1260" w:leader="none"/>
          <w:tab w:val="left" w:pos="6030" w:leader="none"/>
          <w:tab w:val="left" w:pos="6750" w:leader="none"/>
          <w:tab w:val="left" w:pos="7200" w:leader="none"/>
          <w:tab w:val="left" w:pos="10080" w:leader="none"/>
        </w:tabs>
        <w:ind w:hanging="0" w:start="7380" w:end="-90"/>
        <w:jc w:val="start"/>
        <w:rPr/>
      </w:pPr>
      <w:r>
        <w:rPr/>
      </w:r>
    </w:p>
    <w:p>
      <w:pPr>
        <w:pStyle w:val="Heading1"/>
        <w:tabs>
          <w:tab w:val="clear" w:pos="720"/>
          <w:tab w:val="clear" w:pos="6480"/>
          <w:tab w:val="left" w:pos="1260" w:leader="none"/>
          <w:tab w:val="left" w:pos="6030" w:leader="none"/>
          <w:tab w:val="left" w:pos="6750" w:leader="none"/>
          <w:tab w:val="left" w:pos="7200" w:leader="none"/>
          <w:tab w:val="left" w:pos="10080" w:leader="none"/>
        </w:tabs>
        <w:ind w:hanging="0" w:start="7380" w:end="-90"/>
        <w:jc w:val="start"/>
        <w:rPr/>
      </w:pPr>
      <w:r>
        <w:rPr/>
        <w:t>Gina Talyor</w:t>
      </w:r>
    </w:p>
    <w:p>
      <w:pPr>
        <w:pStyle w:val="Normal"/>
        <w:tabs>
          <w:tab w:val="clear" w:pos="720"/>
          <w:tab w:val="left" w:pos="1260" w:leader="none"/>
          <w:tab w:val="left" w:pos="6030" w:leader="none"/>
          <w:tab w:val="left" w:pos="6750" w:leader="none"/>
          <w:tab w:val="left" w:pos="7200" w:leader="none"/>
          <w:tab w:val="left" w:pos="10080" w:leader="none"/>
        </w:tabs>
        <w:spacing w:lineRule="auto" w:line="360"/>
        <w:ind w:start="7380" w:end="-90"/>
        <w:rPr>
          <w:sz w:val="24"/>
        </w:rPr>
      </w:pPr>
      <w:r>
        <w:rPr>
          <w:sz w:val="24"/>
        </w:rPr>
        <w:t>(713) 853-7681</w:t>
      </w:r>
    </w:p>
    <w:p>
      <w:pPr>
        <w:pStyle w:val="Normal"/>
        <w:tabs>
          <w:tab w:val="clear" w:pos="720"/>
          <w:tab w:val="left" w:pos="1260" w:leader="none"/>
          <w:tab w:val="left" w:pos="5760" w:leader="none"/>
          <w:tab w:val="left" w:pos="10080" w:leader="none"/>
        </w:tabs>
        <w:spacing w:lineRule="auto" w:line="360"/>
        <w:ind w:end="-90"/>
        <w:rPr>
          <w:sz w:val="24"/>
        </w:rPr>
      </w:pPr>
      <w:r>
        <w:rPr>
          <w:sz w:val="24"/>
        </w:rPr>
      </w:r>
    </w:p>
    <w:p>
      <w:pPr>
        <w:pStyle w:val="BodyText"/>
        <w:tabs>
          <w:tab w:val="clear" w:pos="720"/>
          <w:tab w:val="left" w:pos="1260" w:leader="none"/>
          <w:tab w:val="left" w:pos="5760" w:leader="none"/>
          <w:tab w:val="left" w:pos="10080" w:leader="none"/>
        </w:tabs>
        <w:ind w:end="-90"/>
        <w:rPr/>
      </w:pPr>
      <w:r>
        <w:rPr/>
        <w:t>EOTT ENERGY PARTNERS, L.P. REPORTS FOURTH QUARTER RESULTS</w:t>
      </w:r>
    </w:p>
    <w:p>
      <w:pPr>
        <w:pStyle w:val="Normal"/>
        <w:tabs>
          <w:tab w:val="clear" w:pos="720"/>
          <w:tab w:val="left" w:pos="1260" w:leader="none"/>
          <w:tab w:val="left" w:pos="5760" w:leader="none"/>
          <w:tab w:val="left" w:pos="10080" w:leader="none"/>
        </w:tabs>
        <w:ind w:end="-90"/>
        <w:rPr>
          <w:b/>
          <w:sz w:val="24"/>
          <w:u w:val="single"/>
        </w:rPr>
      </w:pPr>
      <w:r>
        <w:rPr>
          <w:b/>
          <w:sz w:val="24"/>
          <w:u w:val="single"/>
        </w:rPr>
      </w:r>
    </w:p>
    <w:p>
      <w:pPr>
        <w:pStyle w:val="Normal"/>
        <w:tabs>
          <w:tab w:val="clear" w:pos="720"/>
          <w:tab w:val="left" w:pos="1260" w:leader="none"/>
          <w:tab w:val="left" w:pos="10080" w:leader="none"/>
        </w:tabs>
        <w:ind w:end="-90"/>
        <w:rPr>
          <w:sz w:val="24"/>
        </w:rPr>
      </w:pPr>
      <w:r>
        <w:rPr>
          <w:sz w:val="24"/>
        </w:rPr>
        <w:t>FOR IMMEDIATE RELEASE: Wednesday, February 23, 2000</w:t>
      </w:r>
    </w:p>
    <w:p>
      <w:pPr>
        <w:pStyle w:val="Normal"/>
        <w:tabs>
          <w:tab w:val="clear" w:pos="720"/>
          <w:tab w:val="left" w:pos="1260" w:leader="none"/>
          <w:tab w:val="left" w:pos="10080" w:leader="none"/>
        </w:tabs>
        <w:ind w:end="-90"/>
        <w:rPr>
          <w:sz w:val="24"/>
        </w:rPr>
      </w:pPr>
      <w:r>
        <w:rPr>
          <w:sz w:val="24"/>
        </w:rPr>
      </w:r>
    </w:p>
    <w:p>
      <w:pPr>
        <w:pStyle w:val="BodyTextIndent2"/>
        <w:rPr/>
      </w:pPr>
      <w:r>
        <w:rPr>
          <w:b/>
        </w:rPr>
        <w:t>HOUSTON</w:t>
      </w:r>
      <w:r>
        <w:rPr/>
        <w:t xml:space="preserve"> - EOTT Energy Partners, L.P. (EOTT) announced today fourth quarter net income of $2.3 million before non-recurring charges, or $0.08 per diluted unit, compared to net income of $0.7 million, or $0.03 per diluted unit, in the same period in 1998.  Non-recurring charges totaled $9.8 million, or $(0.35) per diluted unit, in the fourth quarter of 1999.  In total, EOTT reported a loss of $7.5 million, or $(0.27) per diluted unit, in the fourth quarter of 1999.</w:t>
      </w:r>
    </w:p>
    <w:p>
      <w:pPr>
        <w:pStyle w:val="BodyTextIndent2"/>
        <w:rPr/>
      </w:pPr>
      <w:r>
        <w:rPr/>
        <w:t>Fourth quarter 1999 nonrecurring charges reflect a theft of natural gas liquids (NGL) product, concealment of NGL commercial activities and other unauthorized NGL actions by a former employee; the cost to exit mid-continent NGL activities that are no longer needed as a supply function for crude oil blending activities on the West Coast; and severance costs for reduction of workforce due to the realization of operating efficiencies from recent acquisitions and the implementation of a new marketing and accounting system.  EOTT intends to vigorously and immediately pursue its legal rights against the individual responsible for the theft.</w:t>
      </w:r>
    </w:p>
    <w:p>
      <w:pPr>
        <w:pStyle w:val="Normal"/>
        <w:tabs>
          <w:tab w:val="clear" w:pos="720"/>
          <w:tab w:val="left" w:pos="1260" w:leader="none"/>
          <w:tab w:val="left" w:pos="10080" w:leader="none"/>
        </w:tabs>
        <w:spacing w:lineRule="auto" w:line="360"/>
        <w:ind w:firstLine="720" w:end="-90"/>
        <w:rPr>
          <w:sz w:val="24"/>
        </w:rPr>
      </w:pPr>
      <w:r>
        <w:rPr>
          <w:sz w:val="24"/>
        </w:rPr>
        <w:t>Recurring operating income nearly doubled to $10.5 million in the most recent quarter from $5.3 million in the same period in 1998.  Crude oil lease volumes increased significantly in the fourth quarter of 1999 compared to the prior year, with the North America – East of Rockies segment volumes up 26 percent to an average 406,600 barrels per day.  Acquisitions made in late 1998 and early 1999 were the primary reasons for the growth in recurring operating income and lease volumes.   As a result of the realization of operating synergies from recent acquisitions, recurring operating expenses declined to $35.7 million in the fourth quarter of 1999 from $40.7 million in the third quarter of the same year.</w:t>
      </w:r>
    </w:p>
    <w:p>
      <w:pPr>
        <w:pStyle w:val="Normal"/>
        <w:tabs>
          <w:tab w:val="clear" w:pos="720"/>
          <w:tab w:val="left" w:pos="1260" w:leader="none"/>
          <w:tab w:val="left" w:pos="10080" w:leader="none"/>
        </w:tabs>
        <w:spacing w:lineRule="auto" w:line="360"/>
        <w:ind w:firstLine="720" w:end="-90"/>
        <w:rPr>
          <w:sz w:val="24"/>
        </w:rPr>
      </w:pPr>
      <w:r>
        <w:rPr>
          <w:sz w:val="24"/>
        </w:rPr>
        <w:t>For the full year 1999, EOTT reported net income of $7.6 million before non-recurring items and the cumulative effect of an accounting change, or $0.30 per diluted unit, compared to a loss of $4.1 million, or $(0.21) per diluted unit, in 1998.  In total, EOTT reported a loss of $2.2 million, or $(0.09) per diluted unit, before the cumulative effect of an accounting change.</w:t>
      </w:r>
    </w:p>
    <w:p>
      <w:pPr>
        <w:pStyle w:val="BodyTextIndent2"/>
        <w:rPr/>
      </w:pPr>
      <w:r>
        <w:rPr/>
        <w:t>“</w:t>
      </w:r>
      <w:r>
        <w:rPr/>
        <w:t>1999 was a turn-around year for EOTT’s operations, with recurring operating income up nearly five-fold over the prior year,” said Michael D. Burke, president and CEO of EOTT.  “With our increased scale and scope from recent acquisitions and our continuing success in reducing operating costs, we believe we are well positioned for 2000.”</w:t>
      </w:r>
    </w:p>
    <w:p>
      <w:pPr>
        <w:pStyle w:val="BodyTextIndent2"/>
        <w:rPr/>
      </w:pPr>
      <w:r>
        <w:rPr/>
        <w:t>The fourth quarter cash distribution of $0.475 per common unit was declared January 21, 2000 and was paid February 14, 2000 to common unitholders of record as of January 31, 2000. Distribution support of $6.8 million was used to make the fourth quarter distribution.  After the payment of the fourth quarter distribution, $19.7 million of distribution support from Enron Corp remains.  Excluding non-recurring charges, sufficient cash flow was generated by operations to cover the full distribution on common units.</w:t>
      </w:r>
    </w:p>
    <w:p>
      <w:pPr>
        <w:pStyle w:val="Normal"/>
        <w:tabs>
          <w:tab w:val="clear" w:pos="720"/>
          <w:tab w:val="left" w:pos="1260" w:leader="none"/>
          <w:tab w:val="left" w:pos="10080" w:leader="none"/>
        </w:tabs>
        <w:spacing w:lineRule="auto" w:line="360"/>
        <w:ind w:firstLine="720" w:end="-90"/>
        <w:rPr>
          <w:sz w:val="24"/>
        </w:rPr>
      </w:pPr>
      <w:r>
        <w:rPr>
          <w:sz w:val="24"/>
        </w:rPr>
        <w:t>EOTT Energy Partners, L.P. is a major independent marketer of crude oil in the United States and Canada.  Together with its predecessors, the Partnership has been serving the petroleum industry since 1946. Both EOTT Energy Partners, L.P. and EOTT Energy Corp., the general partner, are headquartered in Houston, Texas.  The common units of EOTT Energy Partners, L.P. trade on the NYSE under the symbol “EOT.”</w:t>
      </w:r>
    </w:p>
    <w:p>
      <w:pPr>
        <w:pStyle w:val="Normal"/>
        <w:ind w:end="-90"/>
        <w:jc w:val="center"/>
        <w:rPr>
          <w:b/>
          <w:sz w:val="24"/>
        </w:rPr>
      </w:pPr>
      <w:r>
        <w:rPr>
          <w:b/>
          <w:i/>
          <w:sz w:val="24"/>
        </w:rPr>
        <w:t>Please see attached tables for additional financial information.</w:t>
      </w:r>
    </w:p>
    <w:p>
      <w:pPr>
        <w:pStyle w:val="Normal"/>
        <w:tabs>
          <w:tab w:val="clear" w:pos="720"/>
          <w:tab w:val="left" w:pos="1260" w:leader="none"/>
          <w:tab w:val="left" w:pos="10080" w:leader="none"/>
        </w:tabs>
        <w:spacing w:lineRule="auto" w:line="360"/>
        <w:ind w:end="-90"/>
        <w:jc w:val="center"/>
        <w:rPr>
          <w:b/>
          <w:sz w:val="24"/>
        </w:rPr>
      </w:pPr>
      <w:r>
        <w:rPr>
          <w:b/>
          <w:sz w:val="24"/>
        </w:rPr>
      </w:r>
    </w:p>
    <w:p>
      <w:pPr>
        <w:pStyle w:val="Normal"/>
        <w:tabs>
          <w:tab w:val="clear" w:pos="720"/>
          <w:tab w:val="left" w:pos="1260" w:leader="none"/>
          <w:tab w:val="left" w:pos="10080" w:leader="none"/>
        </w:tabs>
        <w:ind w:end="-90"/>
        <w:rPr>
          <w:sz w:val="19"/>
        </w:rPr>
      </w:pPr>
      <w:r>
        <w:rPr>
          <w:sz w:val="19"/>
        </w:rPr>
        <w:t>This press release includes forward looking statements within the meaning of Section 27A of the Securities Act of 1933 and Section 21E of the Securities Exchange Act of 1934.  Although EOTT Energy Partners, L.P. believes that its expectations are based on reasonable assumptions, it can give no assurance that such expectations will be achieved. Important factors that could cause actual results to differ materially from those in the forward looking statements herein include, but are not limited to, demand for various grades of crude oil and the resulting changes in pricing conditions, the success of the Partnership’s risk management activities, conditions of the capital markets and equity markets during the periods covered by the forward looking statements, and the Partnership’s success in integrating recently acquired assets.</w:t>
      </w:r>
    </w:p>
    <w:p>
      <w:pPr>
        <w:pStyle w:val="Normal"/>
        <w:tabs>
          <w:tab w:val="clear" w:pos="720"/>
          <w:tab w:val="left" w:pos="1440" w:leader="none"/>
          <w:tab w:val="left" w:pos="4860" w:leader="none"/>
          <w:tab w:val="left" w:pos="6300" w:leader="none"/>
          <w:tab w:val="left" w:pos="10080" w:leader="none"/>
        </w:tabs>
        <w:ind w:end="-90"/>
        <w:jc w:val="center"/>
        <w:rPr>
          <w:sz w:val="19"/>
        </w:rPr>
      </w:pPr>
      <w:r>
        <w:rPr>
          <w:sz w:val="19"/>
        </w:rPr>
      </w:r>
    </w:p>
    <w:p>
      <w:pPr>
        <w:pStyle w:val="Normal"/>
        <w:rPr>
          <w:sz w:val="24"/>
        </w:rPr>
      </w:pPr>
      <w:r>
        <w:rPr>
          <w:sz w:val="24"/>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left" w:pos="720" w:leader="none"/>
        <w:tab w:val="left" w:pos="6030" w:leader="none"/>
        <w:tab w:val="left" w:pos="6480" w:leader="none"/>
      </w:tabs>
      <w:jc w:val="end"/>
      <w:outlineLvl w:val="0"/>
    </w:pPr>
    <w:rPr>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720" w:leader="none"/>
        <w:tab w:val="left" w:pos="5760" w:leader="none"/>
      </w:tabs>
    </w:pPr>
    <w:rPr>
      <w:b/>
      <w:sz w:val="24"/>
      <w:u w:val="single"/>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2">
    <w:name w:val="Body Text Indent 2"/>
    <w:basedOn w:val="Normal"/>
    <w:qFormat/>
    <w:pPr>
      <w:tabs>
        <w:tab w:val="clear" w:pos="720"/>
        <w:tab w:val="left" w:pos="1260" w:leader="none"/>
        <w:tab w:val="left" w:pos="10080" w:leader="none"/>
      </w:tabs>
      <w:spacing w:lineRule="auto" w:line="360"/>
      <w:ind w:firstLine="720" w:start="0" w:end="-90"/>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2000-02-23T16:41:00Z</dcterms:created>
  <dc:creator>Scott Vonderheide</dc:creator>
  <dc:description/>
  <dc:language>en-CA</dc:language>
  <cp:lastModifiedBy>Scott Vonderheide</cp:lastModifiedBy>
  <cp:lastPrinted>2000-02-23T12:54:00Z</cp:lastPrinted>
  <dcterms:modified xsi:type="dcterms:W3CDTF">2000-02-23T16:41:00Z</dcterms:modified>
  <cp:revision>2</cp:revision>
  <dc:subject/>
  <dc:title>Draft 2/22/00</dc:title>
</cp:coreProperties>
</file>