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20"/>
        </w:rPr>
      </w:pPr>
      <w:r>
        <w:rPr>
          <w:b/>
          <w:sz w:val="20"/>
        </w:rPr>
        <w:t>Draft</w:t>
      </w:r>
    </w:p>
    <w:p>
      <w:pPr>
        <w:pStyle w:val="Normal"/>
        <w:rPr/>
      </w:pPr>
      <w:r>
        <w:rPr/>
        <w:t>2/23/00</w:t>
      </w:r>
    </w:p>
    <w:p>
      <w:pPr>
        <w:pStyle w:val="Normal"/>
        <w:rPr/>
      </w:pPr>
      <w:r>
        <w:rPr/>
        <w:t>3:00 PM</w:t>
      </w:r>
    </w:p>
    <w:p>
      <w:pPr>
        <w:pStyle w:val="BodyText2"/>
        <w:rPr>
          <w:sz w:val="20"/>
        </w:rPr>
      </w:pPr>
      <w:r>
        <w:rPr>
          <w:sz w:val="20"/>
        </w:rPr>
      </w:r>
    </w:p>
    <w:p>
      <w:pPr>
        <w:pStyle w:val="BodyText2"/>
        <w:rPr>
          <w:b/>
          <w:sz w:val="20"/>
          <w:u w:val="single"/>
        </w:rPr>
      </w:pPr>
      <w:r>
        <w:rPr>
          <w:b/>
          <w:sz w:val="20"/>
          <w:u w:val="single"/>
        </w:rPr>
        <w:t>Distribution:</w:t>
      </w:r>
    </w:p>
    <w:p>
      <w:pPr>
        <w:pStyle w:val="Normal"/>
        <w:rPr/>
      </w:pPr>
      <w:r>
        <w:rPr/>
        <w:t>Stan Horton</w:t>
        <w:tab/>
        <w:tab/>
        <w:t>Hardie Davis</w:t>
      </w:r>
    </w:p>
    <w:p>
      <w:pPr>
        <w:pStyle w:val="Heading1"/>
        <w:ind w:hanging="0" w:start="0"/>
        <w:rPr>
          <w:sz w:val="20"/>
        </w:rPr>
      </w:pPr>
      <w:r>
        <w:rPr>
          <w:sz w:val="20"/>
        </w:rPr>
        <w:t>Mike Burke</w:t>
        <w:tab/>
        <w:tab/>
        <w:t>Investor Relations</w:t>
      </w:r>
    </w:p>
    <w:p>
      <w:pPr>
        <w:pStyle w:val="Normal"/>
        <w:rPr/>
      </w:pPr>
      <w:r>
        <w:rPr/>
        <w:t>Lori Maddox</w:t>
        <w:tab/>
        <w:tab/>
        <w:t>Mark Palmer</w:t>
      </w:r>
    </w:p>
    <w:p>
      <w:pPr>
        <w:pStyle w:val="Normal"/>
        <w:rPr/>
      </w:pPr>
      <w:r>
        <w:rPr/>
        <w:t>Susan Ralph</w:t>
        <w:tab/>
        <w:tab/>
        <w:t>Dave Schafer</w:t>
      </w:r>
    </w:p>
    <w:p>
      <w:pPr>
        <w:pStyle w:val="Normal"/>
        <w:rPr/>
      </w:pPr>
      <w:r>
        <w:rPr/>
        <w:t>Dana Gibbs</w:t>
      </w:r>
    </w:p>
    <w:p>
      <w:pPr>
        <w:pStyle w:val="Normal"/>
        <w:rPr/>
      </w:pPr>
      <w:r>
        <w:rPr/>
        <w:t>Steve Duffy</w:t>
      </w:r>
    </w:p>
    <w:p>
      <w:pPr>
        <w:pStyle w:val="Normal"/>
        <w:rPr>
          <w:sz w:val="24"/>
        </w:rPr>
      </w:pPr>
      <w:r>
        <w:rPr>
          <w:sz w:val="24"/>
        </w:rPr>
      </w:r>
    </w:p>
    <w:p>
      <w:pPr>
        <w:pStyle w:val="Heading1"/>
        <w:ind w:hanging="0" w:start="0"/>
        <w:jc w:val="center"/>
        <w:rPr>
          <w:b/>
        </w:rPr>
      </w:pPr>
      <w:r>
        <w:rPr>
          <w:b/>
        </w:rPr>
        <w:t>EOTT ENERGY PARTNERS, L.P.</w:t>
      </w:r>
    </w:p>
    <w:p>
      <w:pPr>
        <w:pStyle w:val="Normal"/>
        <w:jc w:val="center"/>
        <w:rPr>
          <w:b/>
          <w:sz w:val="24"/>
        </w:rPr>
      </w:pPr>
      <w:r>
        <w:rPr>
          <w:b/>
          <w:sz w:val="24"/>
        </w:rPr>
        <w:t>ANALYST CONFERENCE CALL</w:t>
      </w:r>
    </w:p>
    <w:p>
      <w:pPr>
        <w:pStyle w:val="Normal"/>
        <w:jc w:val="center"/>
        <w:rPr>
          <w:b/>
          <w:sz w:val="24"/>
        </w:rPr>
      </w:pPr>
      <w:r>
        <w:rPr>
          <w:b/>
          <w:sz w:val="24"/>
        </w:rPr>
      </w:r>
    </w:p>
    <w:p>
      <w:pPr>
        <w:pStyle w:val="Normal"/>
        <w:jc w:val="center"/>
        <w:rPr>
          <w:b/>
        </w:rPr>
      </w:pPr>
      <w:r>
        <w:rPr>
          <w:b/>
        </w:rPr>
        <w:t>FEBURARY 23, 2000</w:t>
      </w:r>
    </w:p>
    <w:p>
      <w:pPr>
        <w:pStyle w:val="Normal"/>
        <w:jc w:val="center"/>
        <w:rPr>
          <w:b/>
        </w:rPr>
      </w:pPr>
      <w:r>
        <w:rPr>
          <w:b/>
        </w:rPr>
        <w:t>3:45 PM CST</w:t>
      </w:r>
    </w:p>
    <w:p>
      <w:pPr>
        <w:pStyle w:val="Normal"/>
        <w:jc w:val="center"/>
        <w:rPr/>
      </w:pPr>
      <w:r>
        <w:rPr/>
        <w:t>Phone:  (719) 457-2617</w:t>
      </w:r>
    </w:p>
    <w:p>
      <w:pPr>
        <w:pStyle w:val="Heading4"/>
        <w:ind w:hanging="0" w:start="0"/>
        <w:rPr>
          <w:sz w:val="20"/>
        </w:rPr>
      </w:pPr>
      <w:r>
        <w:rPr>
          <w:sz w:val="20"/>
        </w:rPr>
        <w:t>Replay through March 1:  (719) 457-0820, access code 904531</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Attending:</w:t>
      </w:r>
    </w:p>
    <w:p>
      <w:pPr>
        <w:pStyle w:val="Normal"/>
        <w:rPr>
          <w:sz w:val="24"/>
        </w:rPr>
      </w:pPr>
      <w:r>
        <w:rPr>
          <w:sz w:val="24"/>
        </w:rPr>
        <w:t>Stan Horton, President Gas Pipeline Group, Enron Corp.</w:t>
      </w:r>
    </w:p>
    <w:p>
      <w:pPr>
        <w:pStyle w:val="Normal"/>
        <w:rPr>
          <w:sz w:val="24"/>
        </w:rPr>
      </w:pPr>
      <w:r>
        <w:rPr>
          <w:sz w:val="24"/>
        </w:rPr>
        <w:t>Mike Burke, President and CEO</w:t>
      </w:r>
    </w:p>
    <w:p>
      <w:pPr>
        <w:pStyle w:val="Normal"/>
        <w:rPr>
          <w:sz w:val="24"/>
        </w:rPr>
      </w:pPr>
      <w:r>
        <w:rPr>
          <w:sz w:val="24"/>
        </w:rPr>
        <w:t>Dana Gibbs, Executive Vice President, Commercial</w:t>
      </w:r>
    </w:p>
    <w:p>
      <w:pPr>
        <w:pStyle w:val="Heading1"/>
        <w:ind w:hanging="0" w:start="0"/>
        <w:rPr/>
      </w:pPr>
      <w:r>
        <w:rPr/>
        <w:t>Susan Ralph, Treasurer</w:t>
      </w:r>
    </w:p>
    <w:p>
      <w:pPr>
        <w:pStyle w:val="Normal"/>
        <w:rPr>
          <w:sz w:val="24"/>
        </w:rPr>
      </w:pPr>
      <w:r>
        <w:rPr>
          <w:sz w:val="24"/>
        </w:rPr>
        <w:t>Scott Vonderheide, Director Investor Relations</w:t>
      </w:r>
    </w:p>
    <w:p>
      <w:pPr>
        <w:pStyle w:val="Heading2"/>
        <w:ind w:hanging="0" w:start="0"/>
        <w:rPr>
          <w:sz w:val="24"/>
        </w:rPr>
      </w:pPr>
      <w:r>
        <w:rPr>
          <w:sz w:val="24"/>
        </w:rPr>
      </w:r>
    </w:p>
    <w:p>
      <w:pPr>
        <w:pStyle w:val="Normal"/>
        <w:rPr>
          <w:sz w:val="24"/>
        </w:rPr>
      </w:pPr>
      <w:r>
        <w:rPr>
          <w:sz w:val="24"/>
        </w:rPr>
      </w:r>
    </w:p>
    <w:p>
      <w:pPr>
        <w:pStyle w:val="Heading2"/>
        <w:ind w:hanging="0" w:start="0"/>
        <w:rPr/>
      </w:pPr>
      <w:r>
        <w:rPr/>
        <w:t xml:space="preserve">INTRODUCTION -MIKE BURKE </w:t>
      </w:r>
    </w:p>
    <w:p>
      <w:pPr>
        <w:pStyle w:val="Normal"/>
        <w:rPr>
          <w:sz w:val="24"/>
        </w:rPr>
      </w:pPr>
      <w:r>
        <w:rPr>
          <w:sz w:val="24"/>
        </w:rPr>
        <w:t>Good Afternoon and welcome to the EOTT Energy Partners, L.P. conference call.  This is Mike Burke, President and CEO.  After market close today, we released our fourth quarter and full year 1999 results.  We hope you have seen the release.</w:t>
      </w:r>
    </w:p>
    <w:p>
      <w:pPr>
        <w:pStyle w:val="Normal"/>
        <w:rPr>
          <w:sz w:val="24"/>
        </w:rPr>
      </w:pPr>
      <w:r>
        <w:rPr>
          <w:sz w:val="24"/>
        </w:rPr>
      </w:r>
    </w:p>
    <w:p>
      <w:pPr>
        <w:pStyle w:val="Normal"/>
        <w:rPr>
          <w:sz w:val="24"/>
        </w:rPr>
      </w:pPr>
      <w:r>
        <w:rPr>
          <w:sz w:val="24"/>
        </w:rPr>
        <w:t>I will provide an overview of the results for the quarter and year.  Dana Gibbs, Executive Vice President of EOTT’s Commercial activities, will provide comments on operations and market conditions.  Susan Ralph, Treasurer,  will provide comments on our financial results.  Following these comments, we will field your questions.  First, Scott Vonderheide, our director of investor relations will provide a reminder on our safe harbor statement.</w:t>
      </w:r>
    </w:p>
    <w:p>
      <w:pPr>
        <w:pStyle w:val="Normal"/>
        <w:rPr>
          <w:sz w:val="24"/>
        </w:rPr>
      </w:pPr>
      <w:r>
        <w:rPr>
          <w:sz w:val="24"/>
        </w:rPr>
      </w:r>
    </w:p>
    <w:p>
      <w:pPr>
        <w:pStyle w:val="Normal"/>
        <w:rPr>
          <w:sz w:val="24"/>
        </w:rPr>
      </w:pPr>
      <w:r>
        <w:rPr>
          <w:sz w:val="24"/>
        </w:rPr>
      </w:r>
    </w:p>
    <w:p>
      <w:pPr>
        <w:pStyle w:val="Heading2"/>
        <w:ind w:hanging="0" w:start="0"/>
        <w:rPr/>
      </w:pPr>
      <w:r>
        <w:rPr/>
        <w:t>SAFE HARBOR STATEMENT - SCOTT VONDERHEIDE</w:t>
      </w:r>
    </w:p>
    <w:p>
      <w:pPr>
        <w:pStyle w:val="Normal"/>
        <w:rPr>
          <w:sz w:val="24"/>
        </w:rPr>
      </w:pPr>
      <w:r>
        <w:rPr>
          <w:sz w:val="24"/>
        </w:rPr>
        <w:t>We would like to remind you that comments made during this call may include forward looking statements within the meaning of the Securities Act of 1933 and the Securities and Exchange Act of 1934.  Although we believe our expectations are based on reasonable assumptions, we can give no assurance these expectations will be achieved.  Please refer to our press release for further detail on important factors that could impact actual results.</w:t>
      </w:r>
    </w:p>
    <w:p>
      <w:pPr>
        <w:pStyle w:val="Normal"/>
        <w:rPr>
          <w:sz w:val="24"/>
        </w:rPr>
      </w:pPr>
      <w:r>
        <w:rPr>
          <w:sz w:val="24"/>
        </w:rPr>
      </w:r>
    </w:p>
    <w:p>
      <w:pPr>
        <w:pStyle w:val="Normal"/>
        <w:rPr>
          <w:sz w:val="24"/>
        </w:rPr>
      </w:pPr>
      <w:r>
        <w:rPr>
          <w:sz w:val="24"/>
        </w:rPr>
      </w:r>
    </w:p>
    <w:p>
      <w:pPr>
        <w:pStyle w:val="Heading2"/>
        <w:ind w:hanging="0" w:start="0"/>
        <w:rPr/>
      </w:pPr>
      <w:r>
        <w:rPr/>
        <w:t>OVERVIEW OF RESULTS – MIKE BURKE</w:t>
      </w:r>
    </w:p>
    <w:p>
      <w:pPr>
        <w:pStyle w:val="Normal"/>
        <w:rPr>
          <w:sz w:val="24"/>
        </w:rPr>
      </w:pPr>
      <w:r>
        <w:rPr>
          <w:sz w:val="24"/>
        </w:rPr>
        <w:t>Earnings -</w:t>
      </w:r>
    </w:p>
    <w:p>
      <w:pPr>
        <w:pStyle w:val="Normal"/>
        <w:rPr>
          <w:sz w:val="24"/>
        </w:rPr>
      </w:pPr>
      <w:r>
        <w:rPr>
          <w:sz w:val="24"/>
        </w:rPr>
        <w:t>Recurring net income for the fourth quarter of 1999 was $2.3 million, or $0.08 per diluted unit, significantly improved from our net income of $700,000, or $0.03 per diluted unit, in the fourth quarter of 1998.  Results for the fourth quarter of 1999 include two non-recurring charges that total $9.8 million, or $0.35 per diluted unit.  I will discuss theses in more detail shortly.  In total, we reported a loss of $7.5 million, or $(0.27) per unit, for the quarter just ended.</w:t>
      </w:r>
    </w:p>
    <w:p>
      <w:pPr>
        <w:pStyle w:val="Normal"/>
        <w:rPr>
          <w:sz w:val="24"/>
        </w:rPr>
      </w:pPr>
      <w:r>
        <w:rPr>
          <w:sz w:val="24"/>
        </w:rPr>
      </w:r>
    </w:p>
    <w:p>
      <w:pPr>
        <w:pStyle w:val="Normal"/>
        <w:rPr>
          <w:sz w:val="24"/>
        </w:rPr>
      </w:pPr>
      <w:r>
        <w:rPr>
          <w:sz w:val="24"/>
        </w:rPr>
        <w:t>Nonrecurring charges -</w:t>
      </w:r>
    </w:p>
    <w:p>
      <w:pPr>
        <w:pStyle w:val="Normal"/>
        <w:rPr>
          <w:sz w:val="24"/>
        </w:rPr>
      </w:pPr>
      <w:r>
        <w:rPr>
          <w:sz w:val="24"/>
        </w:rPr>
        <w:t>The fourth quarter charges include $2.0 million for severance, which Susan Ralph will discuss in more detail, and $7.8 million related to our mid-continent NGL activities.</w:t>
      </w:r>
    </w:p>
    <w:p>
      <w:pPr>
        <w:pStyle w:val="Normal"/>
        <w:rPr>
          <w:sz w:val="24"/>
        </w:rPr>
      </w:pPr>
      <w:r>
        <w:rPr>
          <w:sz w:val="24"/>
        </w:rPr>
      </w:r>
    </w:p>
    <w:p>
      <w:pPr>
        <w:pStyle w:val="Normal"/>
        <w:rPr>
          <w:sz w:val="24"/>
        </w:rPr>
      </w:pPr>
      <w:r>
        <w:rPr>
          <w:sz w:val="24"/>
        </w:rPr>
        <w:t>The bulk of the NGL charge, $6.2 million, was the result of apparent theft of NGL product by a former employee and the subsequent concealment of commercial activities and other unauthorized activities.  Company policies and procedures were intentionally violated.  We plan to vigorously and immediately pursue our legal rights against this former employee.</w:t>
      </w:r>
    </w:p>
    <w:p>
      <w:pPr>
        <w:pStyle w:val="Normal"/>
        <w:rPr>
          <w:sz w:val="24"/>
        </w:rPr>
      </w:pPr>
      <w:r>
        <w:rPr>
          <w:sz w:val="24"/>
        </w:rPr>
      </w:r>
    </w:p>
    <w:p>
      <w:pPr>
        <w:pStyle w:val="Normal"/>
        <w:rPr>
          <w:sz w:val="24"/>
        </w:rPr>
      </w:pPr>
      <w:r>
        <w:rPr>
          <w:sz w:val="24"/>
        </w:rPr>
        <w:t xml:space="preserve">The remaining charge of $1.6 million represents the cost to wind down these NGL activities in the mid-continent.  The mid-continent NGL activity originally served as a supply source for our crude oil blending operations in California.  The acquisition of assets and contracts from Koch in December 1998 provided a source of supply for the West Coast crude oil blending operations and, as a result, the mid-continent NGL activity is no longer necessary.  We began to unwind these activities after the acquisition of assets from Koch.  </w:t>
      </w:r>
    </w:p>
    <w:p>
      <w:pPr>
        <w:pStyle w:val="Normal"/>
        <w:rPr>
          <w:sz w:val="24"/>
        </w:rPr>
      </w:pPr>
      <w:r>
        <w:rPr>
          <w:sz w:val="24"/>
        </w:rPr>
      </w:r>
    </w:p>
    <w:p>
      <w:pPr>
        <w:pStyle w:val="Normal"/>
        <w:rPr>
          <w:sz w:val="24"/>
        </w:rPr>
      </w:pPr>
      <w:r>
        <w:rPr>
          <w:sz w:val="24"/>
        </w:rPr>
        <w:t>Mark-to-Market Impact -</w:t>
      </w:r>
    </w:p>
    <w:p>
      <w:pPr>
        <w:pStyle w:val="Normal"/>
        <w:rPr>
          <w:sz w:val="24"/>
        </w:rPr>
      </w:pPr>
      <w:r>
        <w:rPr>
          <w:sz w:val="24"/>
        </w:rPr>
        <w:t xml:space="preserve">Fourth quarter results for this year also include a $1.0 million mark-to-market noncash reduction related to our recurring earnings.  As we have discussed with you previously, the number of contracts subject to market-to-market valuation has been reduced significantly during 1999. </w:t>
      </w:r>
    </w:p>
    <w:p>
      <w:pPr>
        <w:pStyle w:val="Normal"/>
        <w:rPr>
          <w:sz w:val="24"/>
        </w:rPr>
      </w:pPr>
      <w:r>
        <w:rPr>
          <w:sz w:val="24"/>
        </w:rPr>
      </w:r>
    </w:p>
    <w:p>
      <w:pPr>
        <w:pStyle w:val="Normal"/>
        <w:rPr>
          <w:sz w:val="24"/>
        </w:rPr>
      </w:pPr>
      <w:r>
        <w:rPr>
          <w:sz w:val="24"/>
        </w:rPr>
        <w:t>Distribution Support-</w:t>
      </w:r>
    </w:p>
    <w:p>
      <w:pPr>
        <w:pStyle w:val="Normal"/>
        <w:rPr>
          <w:sz w:val="24"/>
        </w:rPr>
      </w:pPr>
      <w:r>
        <w:rPr>
          <w:sz w:val="24"/>
        </w:rPr>
        <w:t>Distribution support of $6.8 million was used to make the fourth quarter distribution.  After payment of the fourth quarter distribution, $19.7 million of distribution support from Enron Corp. remains.</w:t>
      </w:r>
    </w:p>
    <w:p>
      <w:pPr>
        <w:pStyle w:val="Normal"/>
        <w:rPr>
          <w:sz w:val="24"/>
        </w:rPr>
      </w:pPr>
      <w:r>
        <w:rPr>
          <w:sz w:val="24"/>
        </w:rPr>
      </w:r>
    </w:p>
    <w:p>
      <w:pPr>
        <w:pStyle w:val="Normal"/>
        <w:rPr>
          <w:sz w:val="24"/>
        </w:rPr>
      </w:pPr>
      <w:r>
        <w:rPr>
          <w:sz w:val="24"/>
        </w:rPr>
        <w:t>Without the non-recurring charges, cash from operations would have covered the common unit distribution requirement for the fourth quarter in full.</w:t>
      </w:r>
    </w:p>
    <w:p>
      <w:pPr>
        <w:pStyle w:val="Normal"/>
        <w:rPr>
          <w:sz w:val="24"/>
        </w:rPr>
      </w:pPr>
      <w:r>
        <w:rPr>
          <w:sz w:val="24"/>
        </w:rPr>
      </w:r>
    </w:p>
    <w:p>
      <w:pPr>
        <w:pStyle w:val="Normal"/>
        <w:rPr>
          <w:sz w:val="24"/>
        </w:rPr>
      </w:pPr>
      <w:r>
        <w:rPr>
          <w:sz w:val="24"/>
        </w:rPr>
        <w:t>Full year earnings –</w:t>
      </w:r>
    </w:p>
    <w:p>
      <w:pPr>
        <w:pStyle w:val="Normal"/>
        <w:rPr>
          <w:sz w:val="24"/>
        </w:rPr>
      </w:pPr>
      <w:r>
        <w:rPr>
          <w:sz w:val="24"/>
        </w:rPr>
        <w:t>For the full year, recurring net income excluding the cumulative impact of an accounting change was $7.6 million, or $0.30 per diluted unit, compared to a loss of $4.1 million, or $(0.21) per diluted unit.  In total, EOTT reported a loss in 1999 of $2.2 million, or $(0.09) per diluted unit.</w:t>
      </w:r>
    </w:p>
    <w:p>
      <w:pPr>
        <w:pStyle w:val="Normal"/>
        <w:rPr>
          <w:sz w:val="24"/>
        </w:rPr>
      </w:pPr>
      <w:r>
        <w:rPr>
          <w:sz w:val="24"/>
        </w:rPr>
      </w:r>
    </w:p>
    <w:p>
      <w:pPr>
        <w:pStyle w:val="Normal"/>
        <w:rPr>
          <w:sz w:val="24"/>
        </w:rPr>
      </w:pPr>
      <w:r>
        <w:rPr>
          <w:sz w:val="24"/>
        </w:rPr>
        <w:t>Operating Results -</w:t>
      </w:r>
    </w:p>
    <w:p>
      <w:pPr>
        <w:pStyle w:val="Normal"/>
        <w:rPr>
          <w:sz w:val="24"/>
        </w:rPr>
      </w:pPr>
      <w:r>
        <w:rPr>
          <w:sz w:val="24"/>
        </w:rPr>
        <w:t>Our operations delivered significantly improved results in 1999 compared to 1998.  Recurring operating profit nearly doubled in the fourth quarter of 1999 over the same quarter in 1998.  For the full year, recurring operating income increased nearly five-fold in 1999 over 1998.  These favorable operating results validate our business approach.  Our acquisitions in 1998 and 1999 significantly increased our scale and scope.  We quickly integrated these acquisitions with existing operations and took a very disciplined approach to reduce the overall level of operating costs.</w:t>
      </w:r>
    </w:p>
    <w:p>
      <w:pPr>
        <w:pStyle w:val="Normal"/>
        <w:rPr>
          <w:sz w:val="24"/>
        </w:rPr>
      </w:pPr>
      <w:r>
        <w:rPr>
          <w:sz w:val="24"/>
        </w:rPr>
      </w:r>
    </w:p>
    <w:p>
      <w:pPr>
        <w:pStyle w:val="Normal"/>
        <w:rPr>
          <w:sz w:val="24"/>
        </w:rPr>
      </w:pPr>
      <w:r>
        <w:rPr>
          <w:sz w:val="24"/>
        </w:rPr>
        <w:t>Now Dana Gibbs will provide comments on market conditions and operations during the quarter.  Susan Ralph will follow with a summary of our financial results.</w:t>
      </w:r>
    </w:p>
    <w:p>
      <w:pPr>
        <w:pStyle w:val="Normal"/>
        <w:rPr>
          <w:sz w:val="24"/>
        </w:rPr>
      </w:pPr>
      <w:r>
        <w:rPr>
          <w:sz w:val="24"/>
        </w:rPr>
      </w:r>
    </w:p>
    <w:p>
      <w:pPr>
        <w:pStyle w:val="Normal"/>
        <w:rPr>
          <w:sz w:val="24"/>
        </w:rPr>
      </w:pPr>
      <w:r>
        <w:rPr>
          <w:sz w:val="24"/>
        </w:rPr>
      </w:r>
    </w:p>
    <w:p>
      <w:pPr>
        <w:pStyle w:val="Heading2"/>
        <w:ind w:hanging="0" w:start="0"/>
        <w:rPr/>
      </w:pPr>
      <w:r>
        <w:rPr/>
        <w:t>OPERATIONS AND MARKET CONDITIONS – DANA GIBBS</w:t>
      </w:r>
    </w:p>
    <w:p>
      <w:pPr>
        <w:pStyle w:val="Normal"/>
        <w:rPr>
          <w:sz w:val="24"/>
        </w:rPr>
      </w:pPr>
      <w:r>
        <w:rPr>
          <w:sz w:val="24"/>
        </w:rPr>
        <w:t xml:space="preserve">Summary of market conditions in the quarter – </w:t>
      </w:r>
    </w:p>
    <w:p>
      <w:pPr>
        <w:pStyle w:val="Normal"/>
        <w:rPr>
          <w:sz w:val="24"/>
        </w:rPr>
      </w:pPr>
      <w:r>
        <w:rPr>
          <w:sz w:val="24"/>
        </w:rPr>
        <w:t>Market conditions in the fourth quarter were similar to conditions in the third quarter. During the fourth quarter, we saw continued increases in crude oil prices and P+ remained strong.  Operations performed in line with our expectations for the fourth quarter.</w:t>
      </w:r>
    </w:p>
    <w:p>
      <w:pPr>
        <w:pStyle w:val="Normal"/>
        <w:rPr>
          <w:sz w:val="24"/>
        </w:rPr>
      </w:pPr>
      <w:r>
        <w:rPr>
          <w:sz w:val="24"/>
        </w:rPr>
      </w:r>
    </w:p>
    <w:p>
      <w:pPr>
        <w:pStyle w:val="Normal"/>
        <w:rPr>
          <w:sz w:val="24"/>
        </w:rPr>
      </w:pPr>
      <w:r>
        <w:rPr>
          <w:sz w:val="24"/>
        </w:rPr>
        <w:t>Segment Results-</w:t>
      </w:r>
    </w:p>
    <w:p>
      <w:pPr>
        <w:pStyle w:val="Normal"/>
        <w:rPr>
          <w:sz w:val="24"/>
        </w:rPr>
      </w:pPr>
      <w:r>
        <w:rPr>
          <w:sz w:val="24"/>
        </w:rPr>
        <w:t>Crude oil lease volumes in the North America East of Rockies segment averaged 406,600 in the fourth quarter, a 26 percent increase over the same quarter in 1998.  The volume increase was primarily the result the acquisition of Koch assets purchased on December 1, 1998.  North American lease volumes were up slightly from the third quarter level of 402,700 average barrels per day.  In certain areas we have seen new drilling and volume increases as well as increasing volume market share.  These increases have been partially offset by volume reductions from the ongoing rationalization of our lease buying program.  In the fourth quarter we have reduced certain low net margin leases that have high operating costs, including long-haul trucking leases and leases with marginal volumes.  We will continue to review and analyze our lease buying activity and eliminate marginally profitable business.</w:t>
      </w:r>
    </w:p>
    <w:p>
      <w:pPr>
        <w:pStyle w:val="Normal"/>
        <w:rPr>
          <w:sz w:val="24"/>
        </w:rPr>
      </w:pPr>
      <w:r>
        <w:rPr>
          <w:sz w:val="24"/>
        </w:rPr>
        <w:t xml:space="preserve"> </w:t>
      </w:r>
    </w:p>
    <w:p>
      <w:pPr>
        <w:pStyle w:val="Normal"/>
        <w:rPr>
          <w:sz w:val="24"/>
        </w:rPr>
      </w:pPr>
      <w:r>
        <w:rPr>
          <w:sz w:val="24"/>
        </w:rPr>
        <w:t>Pipeline volumes were 594,500 average barrels transported per day compared to 562,200 barrels per day in the third quarter of 1999.  We have seen an increase in pipeline utilization as a result of integration of our West Texas assets, as well as increases which have resulted from market conditions that existed in the fourth quarter of 1999.</w:t>
      </w:r>
    </w:p>
    <w:p>
      <w:pPr>
        <w:pStyle w:val="Normal"/>
        <w:rPr>
          <w:sz w:val="24"/>
        </w:rPr>
      </w:pPr>
      <w:r>
        <w:rPr>
          <w:sz w:val="24"/>
        </w:rPr>
        <w:t xml:space="preserve"> </w:t>
      </w:r>
    </w:p>
    <w:p>
      <w:pPr>
        <w:pStyle w:val="Normal"/>
        <w:rPr>
          <w:sz w:val="24"/>
        </w:rPr>
      </w:pPr>
      <w:r>
        <w:rPr>
          <w:sz w:val="24"/>
        </w:rPr>
        <w:t>West Coast operations reported operating income before non-recurring charges of $4.7 million, down from third quarter operating income of $7.0 million.  The decline was primarily the result of seasonality.  Fourth quarter results were in line with our budget for the quarter.</w:t>
      </w:r>
    </w:p>
    <w:p>
      <w:pPr>
        <w:pStyle w:val="Normal"/>
        <w:rPr>
          <w:sz w:val="24"/>
        </w:rPr>
      </w:pPr>
      <w:r>
        <w:rPr>
          <w:sz w:val="24"/>
        </w:rPr>
      </w:r>
    </w:p>
    <w:p>
      <w:pPr>
        <w:pStyle w:val="Normal"/>
        <w:rPr>
          <w:sz w:val="24"/>
        </w:rPr>
      </w:pPr>
      <w:r>
        <w:rPr>
          <w:sz w:val="24"/>
        </w:rPr>
        <w:t>Susan Ralph will now provide specific comments on our financial results.</w:t>
      </w:r>
    </w:p>
    <w:p>
      <w:pPr>
        <w:pStyle w:val="Normal"/>
        <w:rPr>
          <w:sz w:val="24"/>
        </w:rPr>
      </w:pPr>
      <w:r>
        <w:rPr>
          <w:sz w:val="24"/>
        </w:rPr>
      </w:r>
    </w:p>
    <w:p>
      <w:pPr>
        <w:pStyle w:val="Normal"/>
        <w:rPr>
          <w:sz w:val="24"/>
        </w:rPr>
      </w:pPr>
      <w:r>
        <w:rPr>
          <w:sz w:val="24"/>
        </w:rPr>
      </w:r>
    </w:p>
    <w:p>
      <w:pPr>
        <w:pStyle w:val="Heading2"/>
        <w:ind w:hanging="0" w:start="0"/>
        <w:rPr/>
      </w:pPr>
      <w:r>
        <w:rPr/>
        <w:t>FINANCIAL RESULTS – SUSAN RALPH</w:t>
      </w:r>
    </w:p>
    <w:p>
      <w:pPr>
        <w:pStyle w:val="Normal"/>
        <w:rPr>
          <w:sz w:val="24"/>
        </w:rPr>
      </w:pPr>
      <w:r>
        <w:rPr>
          <w:sz w:val="24"/>
        </w:rPr>
        <w:t>Our base business continued to produce steady results that were in line with our expectations.  Adjusted EBITDA for the fourth quarter of 1999 was $19.9 million compared to $19.2 million in the third quarter.</w:t>
      </w:r>
    </w:p>
    <w:p>
      <w:pPr>
        <w:pStyle w:val="Normal"/>
        <w:rPr>
          <w:sz w:val="24"/>
        </w:rPr>
      </w:pPr>
      <w:r>
        <w:rPr>
          <w:sz w:val="24"/>
        </w:rPr>
      </w:r>
    </w:p>
    <w:p>
      <w:pPr>
        <w:pStyle w:val="Normal"/>
        <w:rPr>
          <w:sz w:val="24"/>
        </w:rPr>
      </w:pPr>
      <w:r>
        <w:rPr>
          <w:sz w:val="24"/>
        </w:rPr>
        <w:t>Adjustments made to reach this base business EBITDA in the fourth quarter were for the one-time or unusual items include:</w:t>
      </w:r>
    </w:p>
    <w:p>
      <w:pPr>
        <w:pStyle w:val="Normal"/>
        <w:numPr>
          <w:ilvl w:val="0"/>
          <w:numId w:val="3"/>
        </w:numPr>
        <w:tabs>
          <w:tab w:val="left" w:pos="720" w:leader="none"/>
        </w:tabs>
        <w:rPr>
          <w:sz w:val="24"/>
        </w:rPr>
      </w:pPr>
      <w:r>
        <w:rPr>
          <w:sz w:val="24"/>
        </w:rPr>
        <w:t>An add-back of $6.2 million for the cost of apparent theft, concealment and unauthorized activity in the mid-continent NGL activity</w:t>
      </w:r>
    </w:p>
    <w:p>
      <w:pPr>
        <w:pStyle w:val="Normal"/>
        <w:numPr>
          <w:ilvl w:val="0"/>
          <w:numId w:val="3"/>
        </w:numPr>
        <w:tabs>
          <w:tab w:val="left" w:pos="720" w:leader="none"/>
        </w:tabs>
        <w:rPr>
          <w:sz w:val="24"/>
        </w:rPr>
      </w:pPr>
      <w:r>
        <w:rPr>
          <w:sz w:val="24"/>
        </w:rPr>
        <w:t>An add-back of $1.6 million for the cost to wind down the mid-continent NGL activity</w:t>
      </w:r>
    </w:p>
    <w:p>
      <w:pPr>
        <w:pStyle w:val="Normal"/>
        <w:numPr>
          <w:ilvl w:val="0"/>
          <w:numId w:val="3"/>
        </w:numPr>
        <w:tabs>
          <w:tab w:val="left" w:pos="720" w:leader="none"/>
        </w:tabs>
        <w:rPr>
          <w:sz w:val="24"/>
        </w:rPr>
      </w:pPr>
      <w:r>
        <w:rPr>
          <w:sz w:val="24"/>
        </w:rPr>
        <w:t>An add-back of $2.0 million for severance costs related to cost reduction initiatives</w:t>
      </w:r>
    </w:p>
    <w:p>
      <w:pPr>
        <w:pStyle w:val="Normal"/>
        <w:numPr>
          <w:ilvl w:val="0"/>
          <w:numId w:val="3"/>
        </w:numPr>
        <w:tabs>
          <w:tab w:val="left" w:pos="720" w:leader="none"/>
        </w:tabs>
        <w:rPr>
          <w:sz w:val="24"/>
        </w:rPr>
      </w:pPr>
      <w:r>
        <w:rPr>
          <w:sz w:val="24"/>
        </w:rPr>
        <w:t xml:space="preserve">An add-back of $1.0 million for the noncash Mark-to-Market </w:t>
      </w:r>
    </w:p>
    <w:p>
      <w:pPr>
        <w:pStyle w:val="Normal"/>
        <w:rPr>
          <w:sz w:val="24"/>
        </w:rPr>
      </w:pPr>
      <w:r>
        <w:rPr>
          <w:sz w:val="24"/>
        </w:rPr>
      </w:r>
    </w:p>
    <w:p>
      <w:pPr>
        <w:pStyle w:val="Normal"/>
        <w:rPr>
          <w:sz w:val="24"/>
        </w:rPr>
      </w:pPr>
      <w:r>
        <w:rPr>
          <w:sz w:val="24"/>
        </w:rPr>
        <w:t>The adjusted EBITDA covered interest expense by 2.3 times, which is in line with the third quarter coverage ratio of 2.4 times.</w:t>
      </w:r>
    </w:p>
    <w:p>
      <w:pPr>
        <w:pStyle w:val="Normal"/>
        <w:rPr>
          <w:sz w:val="24"/>
        </w:rPr>
      </w:pPr>
      <w:r>
        <w:rPr>
          <w:sz w:val="24"/>
        </w:rPr>
      </w:r>
    </w:p>
    <w:p>
      <w:pPr>
        <w:pStyle w:val="Normal"/>
        <w:rPr>
          <w:sz w:val="24"/>
        </w:rPr>
      </w:pPr>
      <w:r>
        <w:rPr>
          <w:sz w:val="24"/>
        </w:rPr>
        <w:t>Debt -</w:t>
      </w:r>
    </w:p>
    <w:p>
      <w:pPr>
        <w:pStyle w:val="Normal"/>
        <w:rPr>
          <w:sz w:val="24"/>
        </w:rPr>
      </w:pPr>
      <w:r>
        <w:rPr>
          <w:sz w:val="24"/>
        </w:rPr>
        <w:t>Total debt outstanding as of 12/31/99 was zero under the Enron Facility.  We did, however, use $74.0 million under the Standard Chartered Trade Services Inventory Facility.</w:t>
      </w:r>
    </w:p>
    <w:p>
      <w:pPr>
        <w:pStyle w:val="Normal"/>
        <w:rPr>
          <w:sz w:val="24"/>
        </w:rPr>
      </w:pPr>
      <w:r>
        <w:rPr>
          <w:sz w:val="24"/>
        </w:rPr>
      </w:r>
    </w:p>
    <w:p>
      <w:pPr>
        <w:pStyle w:val="Normal"/>
        <w:rPr>
          <w:sz w:val="24"/>
        </w:rPr>
      </w:pPr>
      <w:r>
        <w:rPr>
          <w:sz w:val="24"/>
        </w:rPr>
        <w:t>The common unit distribution coverage ratio for the fourth quarter was 1.06 times, excluding the non-recurring charges and subtracting maintenance capital expenditures of $1.2 million.  As Mike noted, without the non-recurring charges, cash from operations in the fourth quarter would have covered the common unit distribution requirement.</w:t>
      </w:r>
    </w:p>
    <w:p>
      <w:pPr>
        <w:pStyle w:val="Normal"/>
        <w:rPr>
          <w:sz w:val="24"/>
        </w:rPr>
      </w:pPr>
      <w:r>
        <w:rPr>
          <w:sz w:val="24"/>
        </w:rPr>
      </w:r>
    </w:p>
    <w:p>
      <w:pPr>
        <w:pStyle w:val="Normal"/>
        <w:rPr>
          <w:sz w:val="24"/>
        </w:rPr>
      </w:pPr>
      <w:r>
        <w:rPr>
          <w:sz w:val="24"/>
        </w:rPr>
        <w:t>Gross Margin and Segment Highlights -</w:t>
      </w:r>
    </w:p>
    <w:p>
      <w:pPr>
        <w:pStyle w:val="Normal"/>
        <w:rPr>
          <w:sz w:val="24"/>
        </w:rPr>
      </w:pPr>
      <w:r>
        <w:rPr>
          <w:sz w:val="24"/>
        </w:rPr>
        <w:t>Overall, after adjusting for the items mentioned earlier, the company produced a gross margin of $55.5 million in the fourth quarter.  Third quarter gross margin was $59.9 million after adjustments.  The decrease is primarily the result of the seasonal decrease in the earning power in the West Coast, where gross margin declined to $4.7 million in the fourth quarter from 7.0 million in the third quarter.  As Dana noted, the West Coast results for the fourth quarter were on target with budgeted expectations.</w:t>
      </w:r>
    </w:p>
    <w:p>
      <w:pPr>
        <w:pStyle w:val="Normal"/>
        <w:rPr>
          <w:sz w:val="24"/>
        </w:rPr>
      </w:pPr>
      <w:r>
        <w:rPr>
          <w:sz w:val="24"/>
        </w:rPr>
      </w:r>
    </w:p>
    <w:p>
      <w:pPr>
        <w:pStyle w:val="Normal"/>
        <w:rPr>
          <w:sz w:val="24"/>
        </w:rPr>
      </w:pPr>
      <w:r>
        <w:rPr>
          <w:sz w:val="24"/>
        </w:rPr>
        <w:t>As we have discussed previously, North America – East of Rockies and the Pipeline Operations are interrelated.  As a result, it is best to consider the results on a combined basis.  The combined gross margin before mark-to-market on the North American East of Rockies and Pipeline Operations was $51.0 million in the fourth quarter of 1999 compared to $51.7 million in the third quarter of 1999.</w:t>
      </w:r>
    </w:p>
    <w:p>
      <w:pPr>
        <w:pStyle w:val="Normal"/>
        <w:rPr>
          <w:sz w:val="24"/>
        </w:rPr>
      </w:pPr>
      <w:r>
        <w:rPr>
          <w:sz w:val="24"/>
        </w:rPr>
        <w:t xml:space="preserve"> </w:t>
      </w:r>
    </w:p>
    <w:p>
      <w:pPr>
        <w:pStyle w:val="Normal"/>
        <w:rPr>
          <w:sz w:val="24"/>
        </w:rPr>
      </w:pPr>
      <w:r>
        <w:rPr>
          <w:sz w:val="24"/>
        </w:rPr>
        <w:t>As Dana discussed, lease volumes increased slightly in the fourth quarter compared to the prior period.  Gross margin per lease barrel, before the mark-to-market impact, was $0.49 in the fourth quarter compared to $0.56 in the third quarter.  The decline in margin per barrel is due in part to the elimination of some lease volumes, as Dana discussed, that carry a high gross margin, but contribute little net margin.</w:t>
      </w:r>
    </w:p>
    <w:p>
      <w:pPr>
        <w:pStyle w:val="Normal"/>
        <w:rPr>
          <w:sz w:val="24"/>
        </w:rPr>
      </w:pPr>
      <w:r>
        <w:rPr>
          <w:sz w:val="24"/>
        </w:rPr>
      </w:r>
    </w:p>
    <w:p>
      <w:pPr>
        <w:pStyle w:val="Normal"/>
        <w:rPr>
          <w:sz w:val="24"/>
        </w:rPr>
      </w:pPr>
      <w:r>
        <w:rPr>
          <w:sz w:val="24"/>
        </w:rPr>
        <w:t>Operating Costs-</w:t>
      </w:r>
    </w:p>
    <w:p>
      <w:pPr>
        <w:pStyle w:val="Normal"/>
        <w:rPr>
          <w:sz w:val="24"/>
        </w:rPr>
      </w:pPr>
      <w:r>
        <w:rPr>
          <w:sz w:val="24"/>
        </w:rPr>
        <w:t>As you may recall, operating expenses were up in the third quarter.  We proactively addressed these matters and are pleased to report remarkable improvement, with even greater savings than we built in to our budget.  Operating costs excluding the severance charges in the fourth quarter of 1999 were $35.7 million compared to $40.7 million in the third quarter.  We are extremely pleased the resulting decrease of $5 million in operating expense.</w:t>
      </w:r>
    </w:p>
    <w:p>
      <w:pPr>
        <w:pStyle w:val="Normal"/>
        <w:rPr>
          <w:sz w:val="24"/>
        </w:rPr>
      </w:pPr>
      <w:r>
        <w:rPr>
          <w:sz w:val="24"/>
        </w:rPr>
      </w:r>
    </w:p>
    <w:p>
      <w:pPr>
        <w:pStyle w:val="Normal"/>
        <w:rPr>
          <w:sz w:val="24"/>
        </w:rPr>
      </w:pPr>
      <w:r>
        <w:rPr>
          <w:sz w:val="24"/>
        </w:rPr>
        <w:t>The $2.0 million severance charge is the result of workforce reductions fromongoing cost reduction initiatives and the implementation of a new marketing and accounting system.  Reducing operating costs has been and continues to be one of our key goals and an important measure of our success.</w:t>
      </w:r>
    </w:p>
    <w:p>
      <w:pPr>
        <w:pStyle w:val="Normal"/>
        <w:rPr>
          <w:sz w:val="24"/>
        </w:rPr>
      </w:pPr>
      <w:r>
        <w:rPr>
          <w:sz w:val="24"/>
        </w:rPr>
        <w:t xml:space="preserve"> </w:t>
      </w:r>
    </w:p>
    <w:p>
      <w:pPr>
        <w:pStyle w:val="Normal"/>
        <w:rPr>
          <w:sz w:val="24"/>
        </w:rPr>
      </w:pPr>
      <w:r>
        <w:rPr>
          <w:sz w:val="24"/>
        </w:rPr>
        <w:t>In 2000, we will continue to place a strong emphasis on strict control of operating costs and efficient use of our assets.</w:t>
      </w:r>
    </w:p>
    <w:p>
      <w:pPr>
        <w:pStyle w:val="Normal"/>
        <w:rPr>
          <w:sz w:val="24"/>
        </w:rPr>
      </w:pPr>
      <w:r>
        <w:rPr>
          <w:sz w:val="24"/>
        </w:rPr>
      </w:r>
    </w:p>
    <w:p>
      <w:pPr>
        <w:pStyle w:val="Normal"/>
        <w:rPr>
          <w:sz w:val="24"/>
        </w:rPr>
      </w:pPr>
      <w:r>
        <w:rPr>
          <w:sz w:val="24"/>
        </w:rPr>
      </w:r>
    </w:p>
    <w:p>
      <w:pPr>
        <w:pStyle w:val="Heading2"/>
        <w:ind w:hanging="0" w:start="0"/>
        <w:rPr/>
      </w:pPr>
      <w:r>
        <w:rPr/>
        <w:t>INTRODUCTION TO QUESTION AND ANSWERS – MIKE BURKE</w:t>
      </w:r>
    </w:p>
    <w:p>
      <w:pPr>
        <w:pStyle w:val="Normal"/>
        <w:rPr>
          <w:sz w:val="24"/>
        </w:rPr>
      </w:pPr>
      <w:r>
        <w:rPr>
          <w:sz w:val="24"/>
        </w:rPr>
        <w:t>In closing, 1999 was a very significant year for EOTT.</w:t>
      </w:r>
    </w:p>
    <w:p>
      <w:pPr>
        <w:pStyle w:val="Normal"/>
        <w:numPr>
          <w:ilvl w:val="0"/>
          <w:numId w:val="2"/>
        </w:numPr>
        <w:rPr>
          <w:sz w:val="24"/>
        </w:rPr>
      </w:pPr>
      <w:r>
        <w:rPr>
          <w:sz w:val="24"/>
        </w:rPr>
        <w:t>We completed the acquisition of assets from Texas-New Mexico Pipeline in May;</w:t>
      </w:r>
    </w:p>
    <w:p>
      <w:pPr>
        <w:pStyle w:val="Normal"/>
        <w:numPr>
          <w:ilvl w:val="0"/>
          <w:numId w:val="2"/>
        </w:numPr>
        <w:rPr>
          <w:sz w:val="24"/>
        </w:rPr>
      </w:pPr>
      <w:r>
        <w:rPr>
          <w:sz w:val="24"/>
        </w:rPr>
        <w:t>We created regional business centers, providing increased accountability for operating results;</w:t>
      </w:r>
    </w:p>
    <w:p>
      <w:pPr>
        <w:pStyle w:val="Normal"/>
        <w:numPr>
          <w:ilvl w:val="0"/>
          <w:numId w:val="2"/>
        </w:numPr>
        <w:rPr>
          <w:sz w:val="24"/>
        </w:rPr>
      </w:pPr>
      <w:r>
        <w:rPr>
          <w:sz w:val="24"/>
        </w:rPr>
        <w:t>We successfully integrated the assets acquired from Koch in 1998 and Texas-New Mexico Pipeline in 1999;</w:t>
      </w:r>
    </w:p>
    <w:p>
      <w:pPr>
        <w:pStyle w:val="Normal"/>
        <w:numPr>
          <w:ilvl w:val="0"/>
          <w:numId w:val="2"/>
        </w:numPr>
        <w:rPr>
          <w:sz w:val="24"/>
        </w:rPr>
      </w:pPr>
      <w:r>
        <w:rPr>
          <w:sz w:val="24"/>
        </w:rPr>
        <w:t>We completed the $235 million debt and 3.5 million unit equity offering in September;</w:t>
      </w:r>
    </w:p>
    <w:p>
      <w:pPr>
        <w:pStyle w:val="Normal"/>
        <w:numPr>
          <w:ilvl w:val="0"/>
          <w:numId w:val="2"/>
        </w:numPr>
        <w:rPr>
          <w:sz w:val="24"/>
        </w:rPr>
      </w:pPr>
      <w:r>
        <w:rPr>
          <w:sz w:val="24"/>
        </w:rPr>
        <w:t>We reduced operating costs;</w:t>
      </w:r>
    </w:p>
    <w:p>
      <w:pPr>
        <w:pStyle w:val="Normal"/>
        <w:numPr>
          <w:ilvl w:val="0"/>
          <w:numId w:val="2"/>
        </w:numPr>
        <w:rPr>
          <w:sz w:val="24"/>
        </w:rPr>
      </w:pPr>
      <w:r>
        <w:rPr>
          <w:sz w:val="24"/>
        </w:rPr>
        <w:t xml:space="preserve"> </w:t>
      </w:r>
      <w:r>
        <w:rPr>
          <w:sz w:val="24"/>
        </w:rPr>
        <w:t>We successfully implemented a state-of-the-art marketing and accounting system, on time and under budget; and</w:t>
      </w:r>
    </w:p>
    <w:p>
      <w:pPr>
        <w:pStyle w:val="Normal"/>
        <w:numPr>
          <w:ilvl w:val="0"/>
          <w:numId w:val="2"/>
        </w:numPr>
        <w:rPr>
          <w:sz w:val="24"/>
        </w:rPr>
      </w:pPr>
      <w:r>
        <w:rPr>
          <w:sz w:val="24"/>
        </w:rPr>
        <w:t>We delivered solid operating results.</w:t>
      </w:r>
    </w:p>
    <w:p>
      <w:pPr>
        <w:pStyle w:val="Normal"/>
        <w:rPr>
          <w:sz w:val="24"/>
        </w:rPr>
      </w:pPr>
      <w:r>
        <w:rPr>
          <w:sz w:val="24"/>
        </w:rPr>
      </w:r>
    </w:p>
    <w:p>
      <w:pPr>
        <w:pStyle w:val="Normal"/>
        <w:rPr>
          <w:sz w:val="24"/>
        </w:rPr>
      </w:pPr>
      <w:r>
        <w:rPr>
          <w:sz w:val="24"/>
        </w:rPr>
        <w:t>In summary, we made major steps forward in 1999 that position the Partnership for strong results in 2000.</w:t>
      </w:r>
    </w:p>
    <w:p>
      <w:pPr>
        <w:pStyle w:val="Normal"/>
        <w:rPr>
          <w:sz w:val="24"/>
        </w:rPr>
      </w:pPr>
      <w:r>
        <w:rPr>
          <w:sz w:val="24"/>
        </w:rPr>
      </w:r>
    </w:p>
    <w:p>
      <w:pPr>
        <w:pStyle w:val="Normal"/>
        <w:rPr>
          <w:sz w:val="24"/>
        </w:rPr>
      </w:pPr>
      <w:r>
        <w:rPr>
          <w:sz w:val="24"/>
        </w:rPr>
        <w:t>That concludes our comments.  We would now like to open the call for questions.</w:t>
      </w:r>
    </w:p>
    <w:p>
      <w:pPr>
        <w:pStyle w:val="Normal"/>
        <w:rPr>
          <w:sz w:val="24"/>
        </w:rPr>
      </w:pPr>
      <w:r>
        <w:rPr>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Style w:val="PageNumber"/>
      </w:rPr>
      <w:t xml:space="preserve">Analyst Conference Call </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b/>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2000-02-23T18:33:00Z</dcterms:created>
  <dc:creator>Scott Vonderheide</dc:creator>
  <dc:description/>
  <dc:language>en-CA</dc:language>
  <cp:lastModifiedBy>Scott Vonderheide</cp:lastModifiedBy>
  <cp:lastPrinted>2000-02-23T08:52:00Z</cp:lastPrinted>
  <dcterms:modified xsi:type="dcterms:W3CDTF">2000-02-23T18:33:00Z</dcterms:modified>
  <cp:revision>2</cp:revision>
  <dc:subject/>
  <dc:title>Draft</dc:title>
</cp:coreProperties>
</file>