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2/14/01 </w:t>
      </w:r>
    </w:p>
    <w:p>
      <w:pPr>
        <w:pStyle w:val="BodyText2"/>
        <w:rPr>
          <w:b/>
          <w:sz w:val="20"/>
          <w:u w:val="single"/>
        </w:rPr>
      </w:pPr>
      <w:r>
        <w:rPr>
          <w:b/>
          <w:sz w:val="20"/>
          <w:u w:val="single"/>
        </w:rPr>
        <w:t>Distribution (when final):</w:t>
      </w:r>
    </w:p>
    <w:p>
      <w:pPr>
        <w:pStyle w:val="Normal"/>
        <w:rPr/>
      </w:pPr>
      <w:r>
        <w:rPr/>
        <w:t>Stan Horton</w:t>
        <w:tab/>
        <w:tab/>
        <w:t>Shelly Corman</w:t>
      </w:r>
    </w:p>
    <w:p>
      <w:pPr>
        <w:pStyle w:val="Normal"/>
        <w:rPr/>
      </w:pPr>
      <w:r>
        <w:rPr/>
        <w:t>Dana Gibbs</w:t>
        <w:tab/>
        <w:tab/>
        <w:t>Investor Relations</w:t>
      </w:r>
    </w:p>
    <w:p>
      <w:pPr>
        <w:pStyle w:val="Normal"/>
        <w:rPr/>
      </w:pPr>
      <w:r>
        <w:rPr/>
        <w:t>Lori Maddox</w:t>
        <w:tab/>
        <w:tab/>
        <w:t>Mark Palmer</w:t>
      </w:r>
    </w:p>
    <w:p>
      <w:pPr>
        <w:pStyle w:val="Normal"/>
        <w:rPr/>
      </w:pPr>
      <w:r>
        <w:rPr/>
        <w:t>Susan Ralph</w:t>
        <w:tab/>
        <w:tab/>
        <w:t>Kimberly Nelson</w:t>
      </w:r>
    </w:p>
    <w:p>
      <w:pPr>
        <w:pStyle w:val="Normal"/>
        <w:rPr/>
      </w:pPr>
      <w:r>
        <w:rPr/>
        <w:t>Lawrence Clayton</w:t>
        <w:tab/>
        <w:t>Molly Sample</w:t>
      </w:r>
    </w:p>
    <w:p>
      <w:pPr>
        <w:pStyle w:val="Header"/>
        <w:tabs>
          <w:tab w:val="clear" w:pos="4320"/>
          <w:tab w:val="clear" w:pos="8640"/>
        </w:tabs>
        <w:rPr/>
      </w:pPr>
      <w:r>
        <w:rPr/>
        <w:t>Rod Hayslett</w:t>
      </w:r>
    </w:p>
    <w:p>
      <w:pPr>
        <w:pStyle w:val="Normal"/>
        <w:rPr>
          <w:sz w:val="24"/>
        </w:rPr>
      </w:pPr>
      <w:r>
        <w:rPr>
          <w:sz w:val="24"/>
        </w:rPr>
      </w:r>
    </w:p>
    <w:p>
      <w:pPr>
        <w:pStyle w:val="Heading1"/>
        <w:ind w:hanging="0" w:start="0"/>
        <w:jc w:val="center"/>
        <w:rPr>
          <w:b/>
        </w:rPr>
      </w:pPr>
      <w:r>
        <w:rPr>
          <w:b/>
        </w:rPr>
        <w:t>EOTT ENERGY PARTNERS, L.P.</w:t>
      </w:r>
    </w:p>
    <w:p>
      <w:pPr>
        <w:pStyle w:val="Normal"/>
        <w:jc w:val="center"/>
        <w:rPr>
          <w:b/>
          <w:sz w:val="24"/>
        </w:rPr>
      </w:pPr>
      <w:r>
        <w:rPr>
          <w:b/>
          <w:sz w:val="24"/>
        </w:rPr>
        <w:t>ANALYST CONFERENCE CALL</w:t>
      </w:r>
    </w:p>
    <w:p>
      <w:pPr>
        <w:pStyle w:val="Normal"/>
        <w:jc w:val="center"/>
        <w:rPr>
          <w:b/>
          <w:sz w:val="24"/>
        </w:rPr>
      </w:pPr>
      <w:r>
        <w:rPr>
          <w:b/>
          <w:sz w:val="24"/>
        </w:rPr>
      </w:r>
    </w:p>
    <w:p>
      <w:pPr>
        <w:pStyle w:val="Normal"/>
        <w:jc w:val="center"/>
        <w:rPr>
          <w:b/>
        </w:rPr>
      </w:pPr>
      <w:r>
        <w:rPr>
          <w:b/>
        </w:rPr>
        <w:t>February 15, 2001</w:t>
      </w:r>
    </w:p>
    <w:p>
      <w:pPr>
        <w:pStyle w:val="Normal"/>
        <w:jc w:val="center"/>
        <w:rPr>
          <w:b/>
        </w:rPr>
      </w:pPr>
      <w:r>
        <w:rPr>
          <w:b/>
        </w:rPr>
        <w:t>9:30 AM CST</w:t>
      </w:r>
    </w:p>
    <w:p>
      <w:pPr>
        <w:pStyle w:val="Normal"/>
        <w:jc w:val="center"/>
        <w:rPr/>
      </w:pPr>
      <w:r>
        <w:rPr/>
        <w:t>Phone:  (719) 457-2645</w:t>
      </w:r>
    </w:p>
    <w:p>
      <w:pPr>
        <w:pStyle w:val="Heading4"/>
        <w:ind w:hanging="0" w:start="0"/>
        <w:rPr>
          <w:sz w:val="20"/>
        </w:rPr>
      </w:pPr>
      <w:r>
        <w:rPr>
          <w:sz w:val="20"/>
        </w:rPr>
        <w:t>Replay through February 22, 2001:  (719) 457-0820, access code 483894</w:t>
      </w:r>
    </w:p>
    <w:p>
      <w:pPr>
        <w:pStyle w:val="Normal"/>
        <w:rPr>
          <w:sz w:val="24"/>
        </w:rPr>
      </w:pPr>
      <w:r>
        <w:rPr>
          <w:sz w:val="24"/>
        </w:rPr>
      </w:r>
    </w:p>
    <w:p>
      <w:pPr>
        <w:pStyle w:val="Normal"/>
        <w:rPr>
          <w:b/>
          <w:sz w:val="24"/>
        </w:rPr>
      </w:pPr>
      <w:r>
        <w:rPr>
          <w:b/>
          <w:color w:val="000000"/>
          <w:sz w:val="24"/>
          <w:u w:val="single"/>
          <w:lang w:eastAsia="en-US"/>
        </w:rPr>
        <w:t>EOTT offices, room 5830 – phone 713 993-5205</w:t>
      </w:r>
    </w:p>
    <w:p>
      <w:pPr>
        <w:pStyle w:val="Normal"/>
        <w:rPr>
          <w:sz w:val="24"/>
        </w:rPr>
      </w:pPr>
      <w:r>
        <w:rPr>
          <w:sz w:val="24"/>
        </w:rPr>
        <w:t>Stan Horton, Chairman and CEO</w:t>
      </w:r>
    </w:p>
    <w:p>
      <w:pPr>
        <w:pStyle w:val="Normal"/>
        <w:rPr>
          <w:sz w:val="24"/>
        </w:rPr>
      </w:pPr>
      <w:r>
        <w:rPr>
          <w:sz w:val="24"/>
        </w:rPr>
        <w:t>Dana Gibbs, President and Chief Operating Officer</w:t>
      </w:r>
    </w:p>
    <w:p>
      <w:pPr>
        <w:pStyle w:val="Heading1"/>
        <w:ind w:hanging="0" w:start="0"/>
        <w:rPr/>
      </w:pPr>
      <w:r>
        <w:rPr/>
        <w:t>Lawrence Clayton, CFO</w:t>
      </w:r>
    </w:p>
    <w:p>
      <w:pPr>
        <w:pStyle w:val="Heading1"/>
        <w:ind w:hanging="0" w:start="0"/>
        <w:rPr/>
      </w:pPr>
      <w:r>
        <w:rPr/>
        <w:t>Susan Ralph, Treasurer  (not announced)</w:t>
      </w:r>
    </w:p>
    <w:p>
      <w:pPr>
        <w:pStyle w:val="Normal"/>
        <w:rPr>
          <w:sz w:val="24"/>
        </w:rPr>
      </w:pPr>
      <w:r>
        <w:rPr>
          <w:sz w:val="24"/>
        </w:rPr>
        <w:t>Lori Maddox, Controller (not announced)</w:t>
      </w:r>
    </w:p>
    <w:p>
      <w:pPr>
        <w:pStyle w:val="Normal"/>
        <w:rPr>
          <w:sz w:val="24"/>
        </w:rPr>
      </w:pPr>
      <w:r>
        <w:rPr>
          <w:sz w:val="24"/>
        </w:rPr>
        <w:t>Scott Vonderheide, Director Investor Relations</w:t>
      </w:r>
    </w:p>
    <w:p>
      <w:pPr>
        <w:pStyle w:val="Normal"/>
        <w:rPr>
          <w:sz w:val="24"/>
        </w:rPr>
      </w:pPr>
      <w:r>
        <w:rPr>
          <w:sz w:val="24"/>
        </w:rPr>
      </w:r>
    </w:p>
    <w:p>
      <w:pPr>
        <w:pStyle w:val="Normal"/>
        <w:rPr>
          <w:sz w:val="24"/>
        </w:rPr>
      </w:pPr>
      <w:r>
        <w:rPr>
          <w:sz w:val="24"/>
        </w:rPr>
      </w:r>
    </w:p>
    <w:p>
      <w:pPr>
        <w:pStyle w:val="Heading2"/>
        <w:ind w:hanging="0" w:start="0"/>
        <w:rPr/>
      </w:pPr>
      <w:r>
        <w:rPr/>
        <w:t>INTRODUCTION – Scott Vonderheide</w:t>
      </w:r>
    </w:p>
    <w:p>
      <w:pPr>
        <w:pStyle w:val="BodyText2"/>
        <w:rPr/>
      </w:pPr>
      <w:r>
        <w:rPr/>
        <w:t>Good morning and thank you for joining the EOTT Energy Partners’ conference call.  Yesterday we reported fourth quarter and full year results.  We hope you have seen the press release.</w:t>
      </w:r>
    </w:p>
    <w:p>
      <w:pPr>
        <w:pStyle w:val="BodyText2"/>
        <w:rPr/>
      </w:pPr>
      <w:r>
        <w:rPr/>
      </w:r>
    </w:p>
    <w:p>
      <w:pPr>
        <w:pStyle w:val="BodyText2"/>
        <w:rPr/>
      </w:pPr>
      <w:r>
        <w:rPr/>
        <w:t>Stan Horton, Chairman and CEO, will review our financial results for the quarter and year.  Dana Gibbs, President and Chief Operating Officer, will follow with a discussion of operating results and key initiatives for 2001.  Following these remarks, we will open the call for questions.</w:t>
      </w:r>
    </w:p>
    <w:p>
      <w:pPr>
        <w:pStyle w:val="Heading2"/>
        <w:ind w:hanging="0" w:start="0"/>
        <w:rPr/>
      </w:pPr>
      <w:r>
        <w:rPr/>
      </w:r>
    </w:p>
    <w:p>
      <w:pPr>
        <w:pStyle w:val="Heading5"/>
        <w:ind w:hanging="0" w:start="0"/>
        <w:rPr>
          <w:sz w:val="24"/>
        </w:rPr>
      </w:pPr>
      <w:r>
        <w:rPr>
          <w:sz w:val="24"/>
        </w:rPr>
        <w:t>In addition, Lawrence Clayton, Chief Financial Officer, is attending and available for questions.</w:t>
      </w:r>
    </w:p>
    <w:p>
      <w:pPr>
        <w:pStyle w:val="Normal"/>
        <w:rPr>
          <w:sz w:val="24"/>
        </w:rPr>
      </w:pPr>
      <w:r>
        <w:rPr>
          <w:sz w:val="24"/>
        </w:rPr>
      </w:r>
    </w:p>
    <w:p>
      <w:pPr>
        <w:pStyle w:val="Heading2"/>
        <w:ind w:hanging="0" w:start="0"/>
        <w:rPr>
          <w:b w:val="false"/>
          <w:u w:val="none"/>
        </w:rPr>
      </w:pPr>
      <w:r>
        <w:rPr>
          <w:b w:val="false"/>
          <w:u w:val="none"/>
        </w:rPr>
        <w:t>Safe Harbor Statement -</w:t>
      </w:r>
    </w:p>
    <w:p>
      <w:pPr>
        <w:pStyle w:val="BodyText2"/>
        <w:rPr/>
      </w:pPr>
      <w:r>
        <w:rPr/>
        <w:t>Before beginning, we would like to remind you that comments made during this call may include forward looking statements within the meaning of the Securities Act of 1933 and the Securities and Exchange Act of 1934.  Although we believe our expectations are based on reasonable assumptions, we can give no assurance these expectations will be achieved.  Please refer to our press release for further detail on important factors that could impact actual results.</w:t>
      </w:r>
    </w:p>
    <w:p>
      <w:pPr>
        <w:pStyle w:val="Normal"/>
        <w:rPr>
          <w:sz w:val="24"/>
        </w:rPr>
      </w:pPr>
      <w:r>
        <w:rPr>
          <w:sz w:val="24"/>
        </w:rPr>
      </w:r>
    </w:p>
    <w:p>
      <w:pPr>
        <w:pStyle w:val="Normal"/>
        <w:rPr>
          <w:sz w:val="24"/>
        </w:rPr>
      </w:pPr>
      <w:r>
        <w:rPr>
          <w:sz w:val="24"/>
        </w:rPr>
        <w:t>Also please note that all earnings discussed from here forward are on a recurring basis unless otherwise noted.  Stan will now discuss our financial results.</w:t>
      </w:r>
    </w:p>
    <w:p>
      <w:pPr>
        <w:pStyle w:val="Normal"/>
        <w:rPr>
          <w:sz w:val="24"/>
        </w:rPr>
      </w:pPr>
      <w:r>
        <w:rPr>
          <w:sz w:val="24"/>
        </w:rPr>
      </w:r>
    </w:p>
    <w:p>
      <w:pPr>
        <w:pStyle w:val="Heading2"/>
        <w:ind w:hanging="0" w:start="0"/>
        <w:rPr/>
      </w:pPr>
      <w:r>
        <w:rPr/>
        <w:t>FINANCIAL RESULTS –STAN HORTON</w:t>
      </w:r>
    </w:p>
    <w:p>
      <w:pPr>
        <w:pStyle w:val="Normal"/>
        <w:rPr>
          <w:color w:val="000000"/>
          <w:sz w:val="24"/>
          <w:lang w:eastAsia="en-US"/>
        </w:rPr>
      </w:pPr>
      <w:r>
        <w:rPr>
          <w:color w:val="000000"/>
          <w:sz w:val="24"/>
          <w:lang w:eastAsia="en-US"/>
        </w:rPr>
        <w:t xml:space="preserve">We completed an excellent year in 2000 and delivered solid results in the fourth quarter.  Our significantly improved earnings and cash flow provide tangible evidence of the tremendous progress we have made in strengthening the financial and operational performance of EOTT. </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Highlights for the fourth quarter 2000 include:</w:t>
      </w:r>
    </w:p>
    <w:p>
      <w:pPr>
        <w:pStyle w:val="Normal"/>
        <w:numPr>
          <w:ilvl w:val="0"/>
          <w:numId w:val="5"/>
        </w:numPr>
        <w:rPr>
          <w:sz w:val="24"/>
        </w:rPr>
      </w:pPr>
      <w:r>
        <w:rPr>
          <w:sz w:val="24"/>
        </w:rPr>
        <w:t>An increase in net income of 63 percent to $0.13 per unit;</w:t>
      </w:r>
    </w:p>
    <w:p>
      <w:pPr>
        <w:pStyle w:val="Normal"/>
        <w:numPr>
          <w:ilvl w:val="0"/>
          <w:numId w:val="7"/>
        </w:numPr>
        <w:rPr>
          <w:sz w:val="24"/>
        </w:rPr>
      </w:pPr>
      <w:r>
        <w:rPr>
          <w:sz w:val="24"/>
        </w:rPr>
        <w:t>For the second consecutive quarter, we generated sufficient cash flow to make a $0.20 per unit distribution on our subordinated units;</w:t>
      </w:r>
    </w:p>
    <w:p>
      <w:pPr>
        <w:pStyle w:val="Normal"/>
        <w:numPr>
          <w:ilvl w:val="0"/>
          <w:numId w:val="7"/>
        </w:numPr>
        <w:rPr>
          <w:sz w:val="24"/>
        </w:rPr>
      </w:pPr>
      <w:r>
        <w:rPr>
          <w:sz w:val="24"/>
        </w:rPr>
        <w:t>Distribution coverage on common units remained at 1.2 times in spite of an $800,000 increase in maintenance capital expenditures; and</w:t>
      </w:r>
    </w:p>
    <w:p>
      <w:pPr>
        <w:pStyle w:val="Normal"/>
        <w:numPr>
          <w:ilvl w:val="0"/>
          <w:numId w:val="7"/>
        </w:numPr>
        <w:rPr>
          <w:sz w:val="24"/>
        </w:rPr>
      </w:pPr>
      <w:r>
        <w:rPr>
          <w:sz w:val="24"/>
        </w:rPr>
        <w:t>An increase in interest coverage to 2.7 times from 2.3 times in 1999.</w:t>
      </w:r>
    </w:p>
    <w:p>
      <w:pPr>
        <w:pStyle w:val="Normal"/>
        <w:rPr>
          <w:sz w:val="24"/>
        </w:rPr>
      </w:pPr>
      <w:r>
        <w:rPr>
          <w:sz w:val="24"/>
        </w:rPr>
      </w:r>
    </w:p>
    <w:p>
      <w:pPr>
        <w:pStyle w:val="Normal"/>
        <w:rPr>
          <w:sz w:val="24"/>
        </w:rPr>
      </w:pPr>
      <w:r>
        <w:rPr>
          <w:sz w:val="24"/>
        </w:rPr>
        <w:t>Details of the fourth quarter results include an increase in gross margin of $7.4 million.  The majority of the increase came from the continued optimization of crude oil bulk sales activities and the elimination of low margin crude oil lease volumes in our North America – East of Rockies segment.  In addition, West Coast gross margin increased $2.1 million as the improved availability of crude oil blending stocks benefited our operations in California.  Dana will discuss both of these items in greater detail.  We also experienced lower financing costs during the quarter as a result of reduced short-term borrowing for crude oil inventories.  Finally, operating expense increased $6.5 million as a result of higher energy, maintenance, environmental and employee benefit costs.</w:t>
      </w:r>
    </w:p>
    <w:p>
      <w:pPr>
        <w:pStyle w:val="Normal"/>
        <w:rPr>
          <w:sz w:val="24"/>
        </w:rPr>
      </w:pPr>
      <w:r>
        <w:rPr>
          <w:sz w:val="24"/>
        </w:rPr>
      </w:r>
    </w:p>
    <w:p>
      <w:pPr>
        <w:pStyle w:val="Heading2"/>
        <w:ind w:hanging="0" w:start="0"/>
        <w:rPr/>
      </w:pPr>
      <w:r>
        <w:rPr/>
        <w:t>Full Year</w:t>
      </w:r>
    </w:p>
    <w:p>
      <w:pPr>
        <w:pStyle w:val="Normal"/>
        <w:rPr>
          <w:sz w:val="24"/>
        </w:rPr>
      </w:pPr>
      <w:r>
        <w:rPr>
          <w:sz w:val="24"/>
        </w:rPr>
        <w:t>Highlights for the full year 2000 include:</w:t>
      </w:r>
    </w:p>
    <w:p>
      <w:pPr>
        <w:pStyle w:val="Normal"/>
        <w:numPr>
          <w:ilvl w:val="0"/>
          <w:numId w:val="4"/>
        </w:numPr>
        <w:rPr>
          <w:sz w:val="24"/>
        </w:rPr>
      </w:pPr>
      <w:r>
        <w:rPr>
          <w:sz w:val="24"/>
        </w:rPr>
        <w:t>Net income per unit increased 57 percent to $0.47;</w:t>
      </w:r>
    </w:p>
    <w:p>
      <w:pPr>
        <w:pStyle w:val="Normal"/>
        <w:numPr>
          <w:ilvl w:val="0"/>
          <w:numId w:val="4"/>
        </w:numPr>
        <w:rPr>
          <w:sz w:val="24"/>
        </w:rPr>
      </w:pPr>
      <w:r>
        <w:rPr>
          <w:sz w:val="24"/>
        </w:rPr>
        <w:t xml:space="preserve">The common unit distribution was paid using cash from operations for the full year with a coverage ratio of 1.2 times; and </w:t>
      </w:r>
    </w:p>
    <w:p>
      <w:pPr>
        <w:pStyle w:val="Normal"/>
        <w:numPr>
          <w:ilvl w:val="0"/>
          <w:numId w:val="4"/>
        </w:numPr>
        <w:rPr>
          <w:sz w:val="24"/>
        </w:rPr>
      </w:pPr>
      <w:r>
        <w:rPr>
          <w:sz w:val="24"/>
        </w:rPr>
        <w:t>Our interest coverage ratio increased to 2.6 times from 2.3 times.</w:t>
      </w:r>
    </w:p>
    <w:p>
      <w:pPr>
        <w:pStyle w:val="Normal"/>
        <w:rPr>
          <w:sz w:val="24"/>
        </w:rPr>
      </w:pPr>
      <w:r>
        <w:rPr>
          <w:sz w:val="24"/>
        </w:rPr>
      </w:r>
    </w:p>
    <w:p>
      <w:pPr>
        <w:pStyle w:val="Normal"/>
        <w:rPr>
          <w:sz w:val="24"/>
        </w:rPr>
      </w:pPr>
      <w:r>
        <w:rPr>
          <w:sz w:val="24"/>
        </w:rPr>
        <w:t>Full year gross margin increased $18.4 million.  The gross margin improvement in the North America – East of Rockies and Pipeline segments was primarily related to the elimination of low margin volumes, improved market conditions and ownership of assets acquired from the Texas-New Mexico Pipeline Company for the entire year in 2000.  West Coast gross margin was reduced due to the limited availability of blending stock during the first nine months of 2000 for our California blending operations.  The operating expense increase of $9.2 million in 2000 was largely due to owning the Texas-New Mexico assets for the full year and higher energy, environmental and employee benefit costs.  Increased factoring of receivables, combined with reduced gains on foreign currency transactions and sales of assets, contributed to the $3.1 million increase in other expense in 2001.</w:t>
      </w:r>
    </w:p>
    <w:p>
      <w:pPr>
        <w:pStyle w:val="Normal"/>
        <w:rPr>
          <w:sz w:val="24"/>
        </w:rPr>
      </w:pPr>
      <w:r>
        <w:rPr>
          <w:sz w:val="24"/>
        </w:rPr>
      </w:r>
    </w:p>
    <w:p>
      <w:pPr>
        <w:pStyle w:val="Heading2"/>
        <w:ind w:hanging="0" w:start="0"/>
        <w:rPr/>
      </w:pPr>
      <w:r>
        <w:rPr/>
        <w:t>2001 Comments</w:t>
      </w:r>
    </w:p>
    <w:p>
      <w:pPr>
        <w:pStyle w:val="Normal"/>
        <w:rPr>
          <w:sz w:val="24"/>
        </w:rPr>
      </w:pPr>
      <w:r>
        <w:rPr>
          <w:sz w:val="24"/>
        </w:rPr>
        <w:t>In closing, we are excited about 2001.  We will continue to focus on increased operating efficiencies, application of technology to improve our information flows, and the continued elimination of low margin crude volumes.  Through these initiatives, we expect to further increase earnings and cash flow in 2001.  Under current market conditions we are comfortable with the First Call consensus estimate for the full year 2001 of $0.59 per unit, which implies a 26 percent increase over actual results in 2000.  For the first quarter of 2001, we expect earnings to be comparable to the third and fourth quarters of 2000.</w:t>
      </w:r>
    </w:p>
    <w:p>
      <w:pPr>
        <w:pStyle w:val="Normal"/>
        <w:rPr>
          <w:sz w:val="24"/>
        </w:rPr>
      </w:pPr>
      <w:r>
        <w:rPr>
          <w:sz w:val="24"/>
        </w:rPr>
      </w:r>
    </w:p>
    <w:p>
      <w:pPr>
        <w:pStyle w:val="Normal"/>
        <w:rPr>
          <w:sz w:val="24"/>
        </w:rPr>
      </w:pPr>
      <w:r>
        <w:rPr>
          <w:sz w:val="24"/>
        </w:rPr>
        <w:t xml:space="preserve">Dana will now provide comments on the fourth quarter and full year business results. </w:t>
      </w:r>
    </w:p>
    <w:p>
      <w:pPr>
        <w:pStyle w:val="Normal"/>
        <w:rPr>
          <w:sz w:val="24"/>
        </w:rPr>
      </w:pPr>
      <w:r>
        <w:rPr>
          <w:sz w:val="24"/>
        </w:rPr>
      </w:r>
    </w:p>
    <w:p>
      <w:pPr>
        <w:pStyle w:val="Heading2"/>
        <w:ind w:hanging="0" w:start="0"/>
        <w:rPr/>
      </w:pPr>
      <w:r>
        <w:rPr/>
        <w:t>BUSINESS RESULTS– DANA GIBBS</w:t>
      </w:r>
    </w:p>
    <w:p>
      <w:pPr>
        <w:pStyle w:val="Heading3"/>
        <w:ind w:hanging="0" w:start="0"/>
        <w:rPr/>
      </w:pPr>
      <w:r>
        <w:rPr/>
        <w:t xml:space="preserve">Market Conditions – </w:t>
      </w:r>
    </w:p>
    <w:p>
      <w:pPr>
        <w:pStyle w:val="Normal"/>
        <w:rPr>
          <w:sz w:val="24"/>
        </w:rPr>
      </w:pPr>
      <w:r>
        <w:rPr>
          <w:sz w:val="24"/>
        </w:rPr>
        <w:t>During the fourth quarter, and for a substantially all of 2000, crude oil prices remained strong and price spreads between the wellhead and liquid market locations were favorable.  Market volatility continues to be high, which affects both P+ values and crude grade differentials.  As we have previously discussed, we continue to evaluate and manage these variables as they can have a significant impact on our results.</w:t>
      </w:r>
    </w:p>
    <w:p>
      <w:pPr>
        <w:pStyle w:val="Normal"/>
        <w:rPr>
          <w:sz w:val="24"/>
        </w:rPr>
      </w:pPr>
      <w:r>
        <w:rPr>
          <w:sz w:val="24"/>
        </w:rPr>
      </w:r>
    </w:p>
    <w:p>
      <w:pPr>
        <w:pStyle w:val="Normal"/>
        <w:rPr>
          <w:sz w:val="24"/>
        </w:rPr>
      </w:pPr>
      <w:r>
        <w:rPr>
          <w:sz w:val="24"/>
        </w:rPr>
        <w:t>For each segment I will review fourth quarter and full year results.</w:t>
      </w:r>
    </w:p>
    <w:p>
      <w:pPr>
        <w:pStyle w:val="Normal"/>
        <w:rPr>
          <w:sz w:val="24"/>
        </w:rPr>
      </w:pPr>
      <w:r>
        <w:rPr>
          <w:sz w:val="24"/>
        </w:rPr>
      </w:r>
    </w:p>
    <w:p>
      <w:pPr>
        <w:pStyle w:val="Heading3"/>
        <w:ind w:hanging="0" w:start="0"/>
        <w:rPr/>
      </w:pPr>
      <w:r>
        <w:rPr/>
        <w:t>EOR and Pipeline Results-</w:t>
      </w:r>
    </w:p>
    <w:p>
      <w:pPr>
        <w:pStyle w:val="Normal"/>
        <w:rPr>
          <w:sz w:val="24"/>
        </w:rPr>
      </w:pPr>
      <w:r>
        <w:rPr>
          <w:sz w:val="24"/>
        </w:rPr>
        <w:t>As Stan mentioned, elimination of low margin volumes in our North America – East of Rockies segment contributed to improved profitability.  The implementation of our information system enhancements in 2000 increased our ability to analyze regional business activity and resulted in a more targeted business strategy.  As a result, crude oil lease volumes averaged 389,800 barrels per day in the fourth quarter of 2000, a 4 percent reduction from the same quarter of 1999.  For the full year, crude oil lease volumes were flat.</w:t>
      </w:r>
    </w:p>
    <w:p>
      <w:pPr>
        <w:pStyle w:val="Normal"/>
        <w:rPr>
          <w:sz w:val="24"/>
        </w:rPr>
      </w:pPr>
      <w:r>
        <w:rPr>
          <w:sz w:val="24"/>
        </w:rPr>
      </w:r>
    </w:p>
    <w:p>
      <w:pPr>
        <w:pStyle w:val="Normal"/>
        <w:rPr>
          <w:sz w:val="24"/>
        </w:rPr>
      </w:pPr>
      <w:r>
        <w:rPr>
          <w:sz w:val="24"/>
        </w:rPr>
        <w:t>Pipeline Operations volumes in the fourth quarter in 2000 were 5 percent lower than in the prior year, averaging 565,700 barrels per day.  The decrease was related to the elimination of low margin volumes in the North America – East of Rockies segment and the effect of weather.  Full year 2000 volumes increased 14 percent to an average of 583,700 barrels per day primarily from the full year of ownership of assets acquired from Texas-New Mexico Pipeline.</w:t>
      </w:r>
    </w:p>
    <w:p>
      <w:pPr>
        <w:pStyle w:val="Normal"/>
        <w:rPr>
          <w:sz w:val="24"/>
        </w:rPr>
      </w:pPr>
      <w:r>
        <w:rPr>
          <w:sz w:val="24"/>
        </w:rPr>
      </w:r>
    </w:p>
    <w:p>
      <w:pPr>
        <w:pStyle w:val="Normal"/>
        <w:rPr>
          <w:sz w:val="24"/>
        </w:rPr>
      </w:pPr>
      <w:r>
        <w:rPr>
          <w:sz w:val="24"/>
        </w:rPr>
        <w:t>We combine North America – East of Rockies and Pipeline Operations segments in our review of financial results because of the high level of intersegment sales.  On a combined basis, operating income in the fourth quarter of 2000 increased to $16.3 million compared to $12.8 million in the prior year.  In 2000, combined operating income was $68.1 million compared to $50.3 million a year earlier.  The improvement for the quarter was largely due the elimination of low margin volumes and favorable market conditions.  In addition to the reduction of low margin volumes, full year results were favorably impacted by market conditions and from owning assets acquired from Texas-New Mexico Pipeline Company for the entire year.</w:t>
      </w:r>
    </w:p>
    <w:p>
      <w:pPr>
        <w:pStyle w:val="Normal"/>
        <w:rPr>
          <w:sz w:val="24"/>
        </w:rPr>
      </w:pPr>
      <w:r>
        <w:rPr>
          <w:sz w:val="24"/>
        </w:rPr>
      </w:r>
    </w:p>
    <w:p>
      <w:pPr>
        <w:pStyle w:val="Heading3"/>
        <w:ind w:hanging="0" w:start="0"/>
        <w:rPr/>
      </w:pPr>
      <w:r>
        <w:rPr/>
        <w:t>West Coast -</w:t>
      </w:r>
    </w:p>
    <w:p>
      <w:pPr>
        <w:pStyle w:val="BodyText2"/>
        <w:rPr/>
      </w:pPr>
      <w:r>
        <w:rPr/>
        <w:t xml:space="preserve">Operating income in the fourth quarter of 2000 was $1.8 million higher than in the fourth quarter of 1999.  Crude oil blending operations benefited from the increased availability of blending stocks in California in the fourth quarter of 2000, primarily due to changes in the relative pricing of petroleum and natural gas products.   Limited blend stock availability in the first nine months of 2000 resulted in a full year reduction of $7.4 million to operating income for the West Coast segment. </w:t>
      </w:r>
    </w:p>
    <w:p>
      <w:pPr>
        <w:pStyle w:val="BodyText2"/>
        <w:rPr/>
      </w:pPr>
      <w:r>
        <w:rPr/>
      </w:r>
    </w:p>
    <w:p>
      <w:pPr>
        <w:pStyle w:val="Heading3"/>
        <w:ind w:hanging="0" w:start="0"/>
        <w:rPr/>
      </w:pPr>
      <w:r>
        <w:rPr/>
        <w:t>Corporate and Other-</w:t>
      </w:r>
    </w:p>
    <w:p>
      <w:pPr>
        <w:pStyle w:val="Normal"/>
        <w:rPr>
          <w:sz w:val="24"/>
        </w:rPr>
      </w:pPr>
      <w:r>
        <w:rPr>
          <w:sz w:val="24"/>
        </w:rPr>
        <w:t>Corporate expense for the quarter and full year just ended was $4.6 million and $1.9 million higher, respectively, due to additional employee benefit and systems-related  costs.</w:t>
      </w:r>
    </w:p>
    <w:p>
      <w:pPr>
        <w:pStyle w:val="Normal"/>
        <w:rPr>
          <w:sz w:val="24"/>
        </w:rPr>
      </w:pPr>
      <w:r>
        <w:rPr>
          <w:sz w:val="24"/>
        </w:rPr>
      </w:r>
    </w:p>
    <w:p>
      <w:pPr>
        <w:pStyle w:val="Heading3"/>
        <w:ind w:hanging="0" w:start="0"/>
        <w:rPr/>
      </w:pPr>
      <w:r>
        <w:rPr/>
        <w:t>Conclusion –</w:t>
      </w:r>
    </w:p>
    <w:p>
      <w:pPr>
        <w:pStyle w:val="Normal"/>
        <w:rPr>
          <w:sz w:val="24"/>
        </w:rPr>
      </w:pPr>
      <w:r>
        <w:rPr>
          <w:sz w:val="24"/>
        </w:rPr>
        <w:t>In summary, we completed another strong quarter and an excellent year.  We have consistently realized significant improvements in our financial and operational results over the past three years.  Operations are now routinely generating sufficient cash flow to pay the entire common unit distribution.  We look forward to building on our recent successes to achieve even stronger results in 2001.</w:t>
      </w:r>
    </w:p>
    <w:p>
      <w:pPr>
        <w:pStyle w:val="Normal"/>
        <w:rPr>
          <w:sz w:val="24"/>
        </w:rPr>
      </w:pPr>
      <w:r>
        <w:rPr>
          <w:sz w:val="24"/>
        </w:rPr>
      </w:r>
    </w:p>
    <w:p>
      <w:pPr>
        <w:pStyle w:val="Normal"/>
        <w:rPr>
          <w:sz w:val="24"/>
        </w:rPr>
      </w:pPr>
      <w:r>
        <w:rPr>
          <w:sz w:val="24"/>
        </w:rPr>
        <w:t>That concludes our comments.  We would now like to open the call for questions.</w:t>
      </w:r>
    </w:p>
    <w:p>
      <w:pPr>
        <w:pStyle w:val="Normal"/>
        <w:rPr>
          <w:sz w:val="24"/>
        </w:rPr>
      </w:pPr>
      <w:r>
        <w:rPr>
          <w:sz w:val="24"/>
        </w:rPr>
      </w:r>
    </w:p>
    <w:p>
      <w:pPr>
        <w:pStyle w:val="Heading2"/>
        <w:ind w:hanging="0" w:start="0"/>
        <w:rPr/>
      </w:pPr>
      <w:r>
        <w:rPr/>
        <w:t>KEY STATISTICS</w:t>
      </w:r>
    </w:p>
    <w:p>
      <w:pPr>
        <w:pStyle w:val="Normal"/>
        <w:rPr>
          <w:sz w:val="24"/>
        </w:rPr>
      </w:pPr>
      <w:r>
        <w:rPr>
          <w:sz w:val="24"/>
        </w:rPr>
      </w:r>
    </w:p>
    <w:p>
      <w:pPr>
        <w:pStyle w:val="Normal"/>
        <w:rPr>
          <w:sz w:val="24"/>
        </w:rPr>
      </w:pPr>
      <w:r>
        <w:rPr>
          <w:sz w:val="24"/>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1955" cy="25323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3" r="-6" b="-13"/>
                    <a:stretch>
                      <a:fillRect/>
                    </a:stretch>
                  </pic:blipFill>
                  <pic:spPr bwMode="auto">
                    <a:xfrm>
                      <a:off x="0" y="0"/>
                      <a:ext cx="5481955" cy="2532380"/>
                    </a:xfrm>
                    <a:prstGeom prst="rect">
                      <a:avLst/>
                    </a:prstGeom>
                    <a:noFill/>
                  </pic:spPr>
                </pic:pic>
              </a:graphicData>
            </a:graphic>
          </wp:anchor>
        </w:drawing>
      </w:r>
    </w:p>
    <w:p>
      <w:pPr>
        <w:pStyle w:val="Normal"/>
        <w:rPr>
          <w:sz w:val="24"/>
        </w:rPr>
      </w:pPr>
      <w:r>
        <w:rPr>
          <w:sz w:val="24"/>
        </w:rPr>
      </w:r>
    </w:p>
    <w:p>
      <w:pPr>
        <w:pStyle w:val="Heading2"/>
        <w:ind w:hanging="0" w:start="0"/>
        <w:rPr/>
      </w:pPr>
      <w:r>
        <w:rPr/>
        <w:t xml:space="preserve">POTENTIAL QUESTIONS </w:t>
      </w:r>
    </w:p>
    <w:p>
      <w:pPr>
        <w:pStyle w:val="Heading3"/>
        <w:ind w:hanging="0" w:start="0"/>
        <w:rPr/>
      </w:pPr>
      <w:r>
        <w:rPr/>
        <w:t>Q.  Can you explain the recent weakness in the unit price?  The peer group has increased significantly in 2001 and interest rates have declined?</w:t>
      </w:r>
    </w:p>
    <w:p>
      <w:pPr>
        <w:pStyle w:val="Heading3"/>
        <w:ind w:hanging="0" w:start="0"/>
        <w:rPr>
          <w:b w:val="false"/>
        </w:rPr>
      </w:pPr>
      <w:r>
        <w:rPr>
          <w:b w:val="false"/>
        </w:rPr>
        <w:t>A.  From a financial and operational standpoint, EOTT is in the best position it has been in since early 1997. Considering our consistent earnings performance over the past several quarters, we believe a higher unit price is warranted.</w:t>
      </w:r>
    </w:p>
    <w:p>
      <w:pPr>
        <w:pStyle w:val="Normal"/>
        <w:rPr>
          <w:b/>
        </w:rPr>
      </w:pPr>
      <w:r>
        <w:rPr>
          <w:b/>
        </w:rPr>
      </w:r>
    </w:p>
    <w:p>
      <w:pPr>
        <w:pStyle w:val="Normal"/>
        <w:rPr/>
      </w:pPr>
      <w:r>
        <w:rPr/>
      </w:r>
    </w:p>
    <w:p>
      <w:pPr>
        <w:pStyle w:val="Heading1"/>
        <w:ind w:hanging="0" w:start="0"/>
        <w:rPr>
          <w:b/>
        </w:rPr>
      </w:pPr>
      <w:r>
        <w:rPr>
          <w:b/>
        </w:rPr>
        <w:t>Q.  What impact do you expect from the adoption of FAS 133?</w:t>
      </w:r>
    </w:p>
    <w:p>
      <w:pPr>
        <w:pStyle w:val="Normal"/>
        <w:rPr>
          <w:sz w:val="24"/>
        </w:rPr>
      </w:pPr>
      <w:r>
        <w:rPr>
          <w:sz w:val="24"/>
        </w:rPr>
        <w:t>[Lawrence Clayton to handle]</w:t>
      </w:r>
    </w:p>
    <w:p>
      <w:pPr>
        <w:pStyle w:val="Normal"/>
        <w:rPr>
          <w:sz w:val="24"/>
        </w:rPr>
      </w:pPr>
      <w:r>
        <w:rPr>
          <w:sz w:val="24"/>
        </w:rPr>
      </w:r>
    </w:p>
    <w:p>
      <w:pPr>
        <w:pStyle w:val="Header"/>
        <w:tabs>
          <w:tab w:val="clear" w:pos="4320"/>
          <w:tab w:val="clear" w:pos="8640"/>
        </w:tabs>
        <w:rPr>
          <w:sz w:val="24"/>
        </w:rPr>
      </w:pPr>
      <w:r>
        <w:rPr>
          <w:sz w:val="24"/>
        </w:rPr>
      </w:r>
    </w:p>
    <w:p>
      <w:pPr>
        <w:pStyle w:val="Heading3"/>
        <w:ind w:hanging="0" w:start="0"/>
        <w:rPr/>
      </w:pPr>
      <w:r>
        <w:rPr/>
        <w:t>Q.  Do you expect to continue paying a distribution on the subordinated units in future quarters?</w:t>
      </w:r>
    </w:p>
    <w:p>
      <w:pPr>
        <w:pStyle w:val="Heading3"/>
        <w:ind w:hanging="0" w:start="0"/>
        <w:rPr>
          <w:b w:val="false"/>
        </w:rPr>
      </w:pPr>
      <w:r>
        <w:rPr>
          <w:b w:val="false"/>
        </w:rPr>
        <w:t>A.  Yes, we do expect to continue partial payments on the subordinated distribution going forward.  The level of distribution will, of course, depend on the level of cash flow we generate.</w:t>
      </w:r>
    </w:p>
    <w:p>
      <w:pPr>
        <w:pStyle w:val="Heading3"/>
        <w:ind w:hanging="0" w:start="0"/>
        <w:rPr>
          <w:b w:val="false"/>
        </w:rPr>
      </w:pPr>
      <w:r>
        <w:rPr>
          <w:b w:val="false"/>
        </w:rPr>
      </w:r>
    </w:p>
    <w:p>
      <w:pPr>
        <w:pStyle w:val="Normal"/>
        <w:rPr>
          <w:sz w:val="24"/>
        </w:rPr>
      </w:pPr>
      <w:r>
        <w:rPr>
          <w:sz w:val="24"/>
        </w:rPr>
        <w:t>[Also note, using the public numbers to estimate cash flow, it appears there is not enough cash to make the $0.20 distribution on the subordinated units (est. cash for for 4Q01 is $10.3 million, common unit distribution is approx. $9 million and sub. Unit distribution is $1.8 million – a shortfall of approx. $500,000).  If we get a question on this, we just need to emphasize that the actual calculation is more detailed and cannot be calculated with public information).]</w:t>
      </w:r>
    </w:p>
    <w:p>
      <w:pPr>
        <w:pStyle w:val="Normal"/>
        <w:rPr>
          <w:sz w:val="24"/>
        </w:rPr>
      </w:pPr>
      <w:r>
        <w:rPr>
          <w:sz w:val="24"/>
        </w:rPr>
      </w:r>
    </w:p>
    <w:p>
      <w:pPr>
        <w:pStyle w:val="Heading3"/>
        <w:ind w:hanging="0" w:start="0"/>
        <w:rPr/>
      </w:pPr>
      <w:r>
        <w:rPr/>
        <w:t>Q.  Are you comfortable with the consensus earnings estimate for 2001 (First Call has a consensus estimate of $0.59 per diluted unit in 2001, which implies net income of $16.5 million)?</w:t>
      </w:r>
    </w:p>
    <w:p>
      <w:pPr>
        <w:pStyle w:val="Heading3"/>
        <w:ind w:hanging="0" w:start="0"/>
        <w:rPr>
          <w:b w:val="false"/>
        </w:rPr>
      </w:pPr>
      <w:r>
        <w:rPr>
          <w:b w:val="false"/>
        </w:rPr>
        <w:t>We expect our base business to continue producing steady results that are in-line with results in the third and fourth quarters of 2000, assuming there is not a material change in market conditions.  As a result, we believe the consensus estimate of $0.59 for the year is achievable and we expect first quarter 2001 results to be in the range of $0.13 or $0.14 per unit.</w:t>
      </w:r>
    </w:p>
    <w:p>
      <w:pPr>
        <w:pStyle w:val="Heading3"/>
        <w:ind w:hanging="0" w:start="0"/>
        <w:rPr>
          <w:b w:val="false"/>
        </w:rPr>
      </w:pPr>
      <w:r>
        <w:rPr>
          <w:b w:val="false"/>
        </w:rPr>
      </w:r>
    </w:p>
    <w:p>
      <w:pPr>
        <w:pStyle w:val="Heading3"/>
        <w:ind w:hanging="0" w:start="0"/>
        <w:rPr/>
      </w:pPr>
      <w:r>
        <w:rPr/>
        <w:t>Q.  Will operating expenses in 2000 continue at the same level as reported in the fourth quarter?</w:t>
      </w:r>
    </w:p>
    <w:p>
      <w:pPr>
        <w:pStyle w:val="Heading3"/>
        <w:ind w:hanging="0" w:start="0"/>
        <w:rPr>
          <w:b w:val="false"/>
        </w:rPr>
      </w:pPr>
      <w:r>
        <w:rPr>
          <w:b w:val="false"/>
        </w:rPr>
        <w:t>A.  Operating expenses fluctuate from quarter to quarter.  Fourth quarter expenses were $42.2 million, or $6.5 million higher than the fourth quarter of 1999.  As we previously discussed, there were several items that contributed to the higher level in the fourth quarter of 2000, including higher energy prices and additional maintenance and employee costs.  A sustainable level of operating expense is somewhere in between, or roughly $38 and $40 million per quarter.  As we have discussed before, we will continue to focus heavily on operating costs and will continue to look for ways to reduce costs.</w:t>
      </w:r>
    </w:p>
    <w:p>
      <w:pPr>
        <w:pStyle w:val="Normal"/>
        <w:rPr>
          <w:b/>
          <w:sz w:val="24"/>
        </w:rPr>
      </w:pPr>
      <w:r>
        <w:rPr>
          <w:b/>
          <w:sz w:val="24"/>
        </w:rPr>
      </w:r>
    </w:p>
    <w:p>
      <w:pPr>
        <w:pStyle w:val="Normal"/>
        <w:numPr>
          <w:ilvl w:val="0"/>
          <w:numId w:val="6"/>
        </w:numPr>
        <w:ind w:hanging="0" w:start="0" w:end="0"/>
        <w:rPr>
          <w:b/>
          <w:sz w:val="24"/>
        </w:rPr>
      </w:pPr>
      <w:r>
        <w:rPr>
          <w:b/>
          <w:sz w:val="24"/>
        </w:rPr>
        <w:t>How will the pipeline safety rules recently issued by the Department of Transportation impact EOTT?</w:t>
      </w:r>
    </w:p>
    <w:p>
      <w:pPr>
        <w:pStyle w:val="BodyText3"/>
        <w:rPr/>
      </w:pPr>
      <w:r>
        <w:rPr/>
        <w:t xml:space="preserve">A.  </w:t>
      </w:r>
      <w:r>
        <w:rPr>
          <w:b w:val="false"/>
        </w:rPr>
        <w:t>The liquid pipeline rules issued in late 2000 by the previous Administration have been held in abeyance by the current Administration.  If new rules are proposed, we will evaluate the impact on our pipelines.</w:t>
      </w:r>
    </w:p>
    <w:p>
      <w:pPr>
        <w:pStyle w:val="Normal"/>
        <w:rPr>
          <w:b/>
          <w:sz w:val="24"/>
        </w:rPr>
      </w:pPr>
      <w:r>
        <w:rPr>
          <w:b/>
          <w:sz w:val="24"/>
        </w:rPr>
      </w:r>
    </w:p>
    <w:p>
      <w:pPr>
        <w:pStyle w:val="BodyText2"/>
        <w:rPr>
          <w:b/>
        </w:rPr>
      </w:pPr>
      <w:r>
        <w:rPr>
          <w:b/>
        </w:rPr>
        <w:t xml:space="preserve">Q.  In the third quarter 10-Q there is reference to a modification of the Koch contract.  Can you provide additional detail on why this was modified and the potential impact to EOTT? </w:t>
      </w:r>
    </w:p>
    <w:p>
      <w:pPr>
        <w:pStyle w:val="Normal"/>
        <w:rPr>
          <w:sz w:val="24"/>
        </w:rPr>
      </w:pPr>
      <w:r>
        <w:rPr>
          <w:sz w:val="24"/>
        </w:rPr>
        <w:t>A.  EOTT has a long-term contract in place to supply Koch with crude oil at market based prices.  The market price under the Koch contract was pegged to a posting price that would not always move in tandem with other posting prices.  To create a better matching of our purchase and sales commitments, we amended the price mechanism on the Koch contract for a period of six months.  We will continue to monitor the impact of this change and may discuss a longer-term modification to the Koch supply contract.</w:t>
      </w:r>
    </w:p>
    <w:p>
      <w:pPr>
        <w:pStyle w:val="Normal"/>
        <w:rPr>
          <w:sz w:val="24"/>
        </w:rPr>
      </w:pPr>
      <w:r>
        <w:rPr>
          <w:sz w:val="24"/>
        </w:rPr>
      </w:r>
    </w:p>
    <w:p>
      <w:pPr>
        <w:pStyle w:val="BodyText3"/>
        <w:rPr/>
      </w:pPr>
      <w:r>
        <w:rPr/>
        <w:t>Q.  Why has the East of Rockies margin per barrel increased substantially  compared to the third quarter of 1999?</w:t>
      </w:r>
    </w:p>
    <w:p>
      <w:pPr>
        <w:pStyle w:val="Normal"/>
        <w:rPr>
          <w:sz w:val="24"/>
        </w:rPr>
      </w:pPr>
      <w:r>
        <w:rPr>
          <w:sz w:val="24"/>
        </w:rPr>
        <w:t>A.  Gross margin, excluding the impact of market-to-market accounting, per lease barrel increased to $0.64 in the fourth quarter of 2000 compared to $0.49 per lease barrel in the same quarter of 1999.  The increase was primarily the result of the elimination of low margin volumes in West Texas.</w:t>
      </w:r>
    </w:p>
    <w:p>
      <w:pPr>
        <w:pStyle w:val="Normal"/>
        <w:rPr>
          <w:sz w:val="24"/>
        </w:rPr>
      </w:pPr>
      <w:r>
        <w:rPr>
          <w:sz w:val="24"/>
        </w:rPr>
      </w:r>
    </w:p>
    <w:p>
      <w:pPr>
        <w:pStyle w:val="Normal"/>
        <w:rPr>
          <w:sz w:val="24"/>
        </w:rPr>
      </w:pPr>
      <w:r>
        <w:rPr>
          <w:sz w:val="24"/>
        </w:rPr>
        <w:t>Keep in mind, however, there is a high level of intersegment sales between the East of Rockies and the Pipeline Operations segments.  As a result, we are more focused on the combined gross margin for East of Rockies and Pipeline Operations.</w:t>
      </w:r>
    </w:p>
    <w:p>
      <w:pPr>
        <w:pStyle w:val="Normal"/>
        <w:rPr>
          <w:sz w:val="24"/>
        </w:rPr>
      </w:pPr>
      <w:r>
        <w:rPr>
          <w:sz w:val="24"/>
        </w:rPr>
      </w:r>
    </w:p>
    <w:p>
      <w:pPr>
        <w:pStyle w:val="BodyText3"/>
        <w:rPr/>
      </w:pPr>
      <w:r>
        <w:rPr/>
        <w:t>Q.  Could you provide an update on the apparent theft, concealment and unauthorized trading activity?</w:t>
      </w:r>
    </w:p>
    <w:p>
      <w:pPr>
        <w:pStyle w:val="Normal"/>
        <w:rPr>
          <w:sz w:val="24"/>
        </w:rPr>
      </w:pPr>
      <w:r>
        <w:rPr>
          <w:sz w:val="24"/>
        </w:rPr>
        <w:t>A. As discussed in the second quarter 10-Q, we have recovered $2.5 million of the 1999 loss from mid-continent activities through an insurance settlement.  We do not expect any further financial impact.</w:t>
      </w:r>
    </w:p>
    <w:p>
      <w:pPr>
        <w:pStyle w:val="Normal"/>
        <w:rPr>
          <w:sz w:val="24"/>
        </w:rPr>
      </w:pPr>
      <w:r>
        <w:rPr>
          <w:sz w:val="24"/>
        </w:rPr>
      </w:r>
    </w:p>
    <w:p>
      <w:pPr>
        <w:pStyle w:val="Heading3"/>
        <w:ind w:hanging="0" w:start="0"/>
        <w:rPr/>
      </w:pPr>
      <w:r>
        <w:rPr/>
        <w:t>Q.  In the fourth quarter of 1999 you indicated you were reviewing internal controls.  Can you provide comments on the findings and have any actions been taken to prevent future breach of controls?</w:t>
      </w:r>
    </w:p>
    <w:p>
      <w:pPr>
        <w:pStyle w:val="Normal"/>
        <w:rPr>
          <w:sz w:val="24"/>
        </w:rPr>
      </w:pPr>
      <w:r>
        <w:rPr>
          <w:sz w:val="24"/>
        </w:rPr>
        <w:t>A.  Arthur Andersen reviewed our controls and made recommendations.  We did not encounter any significant issues with the preparation of our second, third quarter or fourth quarter financial results.</w:t>
      </w:r>
    </w:p>
    <w:p>
      <w:pPr>
        <w:pStyle w:val="Normal"/>
        <w:rPr>
          <w:sz w:val="24"/>
        </w:rPr>
      </w:pPr>
      <w:r>
        <w:rPr>
          <w:sz w:val="24"/>
        </w:rPr>
      </w:r>
    </w:p>
    <w:p>
      <w:pPr>
        <w:pStyle w:val="BodyText3"/>
        <w:rPr/>
      </w:pPr>
      <w:r>
        <w:rPr/>
        <w:t>Q.  Are you still actively pursuing acquisitions?  If so, can you give a summary of the activity?</w:t>
      </w:r>
    </w:p>
    <w:p>
      <w:pPr>
        <w:pStyle w:val="Normal"/>
        <w:rPr>
          <w:sz w:val="24"/>
        </w:rPr>
      </w:pPr>
      <w:r>
        <w:rPr>
          <w:sz w:val="24"/>
        </w:rPr>
        <w:t>A. We continue to evaluate acquisitions.  We continue to believe there are clear cost advantages and increased flexibility associated with the consolidation of crude oil pipeline assets.</w:t>
      </w:r>
    </w:p>
    <w:p>
      <w:pPr>
        <w:pStyle w:val="Heading3"/>
        <w:ind w:hanging="0" w:start="0"/>
        <w:rPr>
          <w:sz w:val="24"/>
        </w:rPr>
      </w:pPr>
      <w:r>
        <w:rPr>
          <w:sz w:val="24"/>
        </w:rPr>
      </w:r>
    </w:p>
    <w:p>
      <w:pPr>
        <w:pStyle w:val="Heading3"/>
        <w:ind w:hanging="0" w:start="0"/>
        <w:rPr/>
      </w:pPr>
      <w:r>
        <w:rPr/>
        <w:t>Q.  Is it possible to make accretive acquisitions with your cost of equity so high?</w:t>
      </w:r>
    </w:p>
    <w:p>
      <w:pPr>
        <w:pStyle w:val="Normal"/>
        <w:rPr>
          <w:sz w:val="24"/>
        </w:rPr>
      </w:pPr>
      <w:r>
        <w:rPr>
          <w:sz w:val="24"/>
        </w:rPr>
        <w:t>A.  All acquisitions are evaluated using the market cost of debt and equity.  We will only pursue acquisitions that have a positive cash flow impact to our existing unitholders.</w:t>
      </w:r>
    </w:p>
    <w:p>
      <w:pPr>
        <w:pStyle w:val="Heading3"/>
        <w:ind w:hanging="0" w:start="0"/>
        <w:rPr>
          <w:sz w:val="24"/>
        </w:rPr>
      </w:pPr>
      <w:r>
        <w:rPr>
          <w:sz w:val="24"/>
        </w:rPr>
      </w:r>
    </w:p>
    <w:p>
      <w:pPr>
        <w:pStyle w:val="Normal"/>
        <w:rPr/>
      </w:pPr>
      <w:r>
        <w:rPr/>
      </w:r>
    </w:p>
    <w:p>
      <w:pPr>
        <w:pStyle w:val="Normal"/>
        <w:rPr/>
      </w:pPr>
      <w:r>
        <w:rPr/>
      </w:r>
    </w:p>
    <w:p>
      <w:pPr>
        <w:pStyle w:val="Heading3"/>
        <w:ind w:hanging="0" w:start="0"/>
        <w:rPr/>
      </w:pPr>
      <w:r>
        <w:rPr/>
        <w:t>Mark-to-Market Background</w:t>
      </w:r>
    </w:p>
    <w:p>
      <w:pPr>
        <w:pStyle w:val="Normal"/>
        <w:rPr>
          <w:sz w:val="24"/>
        </w:rPr>
      </w:pPr>
      <w:r>
        <w:rPr>
          <w:sz w:val="24"/>
        </w:rPr>
        <w:t>It is important to keep in mind that the recurring mark-to-market gains and losses are noncash and we have offsetting positions for most of the contracts in mark-to-market pool  – one side is booked under accrual and the other is mark-to-market.  This changes the timing of earnings recognition, but does not change the cash impact.</w:t>
      </w:r>
    </w:p>
    <w:p>
      <w:pPr>
        <w:pStyle w:val="Normal"/>
        <w:rPr>
          <w:sz w:val="24"/>
        </w:rPr>
      </w:pPr>
      <w:r>
        <w:rPr>
          <w:sz w:val="24"/>
        </w:rPr>
      </w:r>
    </w:p>
    <w:p>
      <w:pPr>
        <w:pStyle w:val="Normal"/>
        <w:rPr>
          <w:sz w:val="24"/>
        </w:rPr>
      </w:pPr>
      <w:r>
        <w:rPr>
          <w:sz w:val="24"/>
        </w:rPr>
      </w:r>
    </w:p>
    <w:tbl>
      <w:tblPr>
        <w:tblW w:w="9525" w:type="dxa"/>
        <w:jc w:val="start"/>
        <w:tblInd w:w="0" w:type="dxa"/>
        <w:tblLayout w:type="fixed"/>
        <w:tblCellMar>
          <w:top w:w="0" w:type="dxa"/>
          <w:start w:w="108" w:type="dxa"/>
          <w:bottom w:w="0" w:type="dxa"/>
          <w:end w:w="108" w:type="dxa"/>
        </w:tblCellMar>
      </w:tblPr>
      <w:tblGrid>
        <w:gridCol w:w="1728"/>
        <w:gridCol w:w="866"/>
        <w:gridCol w:w="866"/>
        <w:gridCol w:w="866"/>
        <w:gridCol w:w="867"/>
        <w:gridCol w:w="866"/>
        <w:gridCol w:w="866"/>
        <w:gridCol w:w="866"/>
        <w:gridCol w:w="867"/>
        <w:gridCol w:w="867"/>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866" w:type="dxa"/>
            <w:tcBorders>
              <w:top w:val="single" w:sz="4" w:space="0" w:color="000000"/>
              <w:start w:val="single" w:sz="4" w:space="0" w:color="000000"/>
              <w:bottom w:val="single" w:sz="4" w:space="0" w:color="000000"/>
              <w:end w:val="single" w:sz="4" w:space="0" w:color="000000"/>
            </w:tcBorders>
          </w:tcPr>
          <w:p>
            <w:pPr>
              <w:pStyle w:val="Normal"/>
              <w:ind w:end="-142"/>
              <w:rPr>
                <w:sz w:val="24"/>
              </w:rPr>
            </w:pPr>
            <w:r>
              <w:rPr>
                <w:sz w:val="24"/>
              </w:rPr>
              <w:t>Cumm. Effect 1Q99</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1Q99</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2Q99</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3Q99</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4Q99</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1Q00</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2Q00</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3Q00</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4Q00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MTM Income (Loss)</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$1.7</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$2.1</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$1.0</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$(2.8)</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$(1.0)</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$(1.8)</w:t>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$0.1</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$(0.6)</w:t>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$(0.1)</w:t>
            </w:r>
          </w:p>
        </w:tc>
      </w:tr>
    </w:tbl>
    <w:p>
      <w:pPr>
        <w:pStyle w:val="Normal"/>
        <w:rPr>
          <w:sz w:val="24"/>
        </w:rPr>
      </w:pPr>
      <w:r>
        <w:rPr>
          <w:sz w:val="24"/>
        </w:rPr>
        <w:t>[Cummulative impact from 1Q99 is a loss of $1.4 million.  This will eventually reverse – any idea of timing?]</w:t>
      </w:r>
    </w:p>
    <w:p>
      <w:pPr>
        <w:pStyle w:val="Normal"/>
        <w:rPr>
          <w:sz w:val="24"/>
        </w:rPr>
      </w:pPr>
      <w:r>
        <w:rPr>
          <w:sz w:val="24"/>
        </w:rPr>
      </w:r>
    </w:p>
    <w:p>
      <w:pPr>
        <w:pStyle w:val="Normal"/>
        <w:rPr>
          <w:sz w:val="24"/>
        </w:rPr>
      </w:pPr>
      <w:r>
        <w:rPr>
          <w:sz w:val="24"/>
        </w:rPr>
        <w:t>Other potential issues:</w:t>
      </w:r>
    </w:p>
    <w:p>
      <w:pPr>
        <w:pStyle w:val="Normal"/>
        <w:numPr>
          <w:ilvl w:val="0"/>
          <w:numId w:val="2"/>
        </w:numPr>
        <w:rPr>
          <w:sz w:val="24"/>
        </w:rPr>
      </w:pPr>
      <w:r>
        <w:rPr>
          <w:sz w:val="24"/>
        </w:rPr>
        <w:t>What is the current debt to total capital ratio?</w:t>
      </w:r>
    </w:p>
    <w:p>
      <w:pPr>
        <w:pStyle w:val="Normal"/>
        <w:numPr>
          <w:ilvl w:val="0"/>
          <w:numId w:val="3"/>
        </w:numPr>
        <w:rPr>
          <w:sz w:val="24"/>
        </w:rPr>
      </w:pPr>
      <w:r>
        <w:rPr>
          <w:sz w:val="24"/>
        </w:rPr>
        <w:t>The debt to total capital ratio at the end of the third quarter was 73%.  At year end 2000, this ratio was xx%.</w:t>
      </w:r>
    </w:p>
    <w:p>
      <w:pPr>
        <w:pStyle w:val="Normal"/>
        <w:rPr>
          <w:sz w:val="24"/>
        </w:rPr>
      </w:pPr>
      <w:r>
        <w:rPr>
          <w:sz w:val="24"/>
        </w:rPr>
      </w:r>
    </w:p>
    <w:p>
      <w:pPr>
        <w:pStyle w:val="Normal"/>
        <w:rPr>
          <w:sz w:val="24"/>
        </w:rPr>
      </w:pPr>
      <w:r>
        <w:rPr>
          <w:sz w:val="24"/>
        </w:rPr>
        <w:t>Q.  How will changing market conditions impact EOTT’s business/earnings (i.e., what is the price of crude falls)?</w:t>
      </w:r>
    </w:p>
    <w:p>
      <w:pPr>
        <w:pStyle w:val="Normal"/>
        <w:rPr>
          <w:sz w:val="24"/>
        </w:rPr>
      </w:pPr>
      <w:r>
        <w:rPr>
          <w:sz w:val="24"/>
        </w:rPr>
        <w:t>A.  We operate our business with a minimal net commodity position, so we would not expect a large earings or cash flow impact as a direct result of a change in the price of crude oil.  We have our largest exposure to the spread of prompt crude to the next month price.  We have the ability in our contracts to renegotiate the contract price monthly to pass through any changes in this spread.</w:t>
      </w:r>
    </w:p>
    <w:p>
      <w:pPr>
        <w:pStyle w:val="Normal"/>
        <w:rPr>
          <w:sz w:val="24"/>
        </w:rPr>
      </w:pPr>
      <w:r>
        <w:rPr>
          <w:sz w:val="24"/>
        </w:rPr>
      </w:r>
    </w:p>
    <w:p>
      <w:pPr>
        <w:pStyle w:val="Normal"/>
        <w:rPr>
          <w:sz w:val="24"/>
        </w:rPr>
      </w:pPr>
      <w:r>
        <w:rPr>
          <w:sz w:val="24"/>
        </w:rPr>
        <w:t>As market changes, however, there are many variables that can impact our profitability.  The biggest challenge is to first understand the market changes and to then adapt the way we conduct our business.  The scale and scope of our operations give us great knowledge and insight into the North American crude oil markets.  In addition, as we have increased our asset base over the past several years, we have achieved great operational flexibility, while reducing our exposure to regional impacts.</w:t>
      </w:r>
    </w:p>
    <w:p>
      <w:pPr>
        <w:pStyle w:val="Normal"/>
        <w:rPr>
          <w:sz w:val="24"/>
        </w:rPr>
      </w:pPr>
      <w:r>
        <w:rPr>
          <w:sz w:val="24"/>
        </w:rPr>
      </w:r>
    </w:p>
    <w:p>
      <w:pPr>
        <w:pStyle w:val="Normal"/>
        <w:rPr>
          <w:sz w:val="24"/>
        </w:rPr>
      </w:pPr>
      <w:r>
        <w:rPr>
          <w:sz w:val="24"/>
        </w:rPr>
        <w:t>An example of how we adapt to changing market conditions is:</w:t>
      </w:r>
    </w:p>
    <w:p>
      <w:pPr>
        <w:pStyle w:val="Normal"/>
        <w:numPr>
          <w:ilvl w:val="0"/>
          <w:numId w:val="8"/>
        </w:numPr>
        <w:rPr>
          <w:sz w:val="24"/>
        </w:rPr>
      </w:pPr>
      <w:r>
        <w:rPr>
          <w:sz w:val="24"/>
        </w:rPr>
        <w:t>When the market is contango, or forward prices exceed current spot prices, we will sell oil at the higher forward prices and use our storage assets to hold the oil until delivery is required.</w:t>
      </w:r>
    </w:p>
    <w:p>
      <w:pPr>
        <w:pStyle w:val="Normal"/>
        <w:numPr>
          <w:ilvl w:val="0"/>
          <w:numId w:val="8"/>
        </w:numPr>
        <w:rPr>
          <w:sz w:val="24"/>
        </w:rPr>
      </w:pPr>
      <w:r>
        <w:rPr>
          <w:sz w:val="24"/>
        </w:rPr>
        <w:t>When the market is backwardated or flat, as it is now, we will hold a minimal level of inventory.</w:t>
      </w:r>
    </w:p>
    <w:p>
      <w:pPr>
        <w:pStyle w:val="Normal"/>
        <w:rPr>
          <w:sz w:val="24"/>
        </w:rPr>
      </w:pPr>
      <w:r>
        <w:rPr>
          <w:sz w:val="24"/>
        </w:rPr>
      </w:r>
    </w:p>
    <w:p>
      <w:pPr>
        <w:pStyle w:val="Normal"/>
        <w:rPr>
          <w:sz w:val="24"/>
        </w:rPr>
      </w:pPr>
      <w:r>
        <w:rPr>
          <w:sz w:val="24"/>
        </w:rPr>
        <w:t>As a result of our market knowledge and operational flexibility, we believe we are well prepared to adapt to changes that might occur in the market for crude oil.</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Style w:val="PageNumber"/>
      </w:rPr>
      <w:t xml:space="preserve">Analyst Conference Call </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upperLetter"/>
      <w:lvlText w:val="%1."/>
      <w:lvlJc w:val="start"/>
      <w:pPr>
        <w:tabs>
          <w:tab w:val="num" w:pos="360"/>
        </w:tabs>
        <w:ind w:start="360" w:hanging="360"/>
      </w:pPr>
      <w:rPr/>
    </w:lvl>
  </w:abstractNum>
  <w:abstractNum w:abstractNumId="3">
    <w:lvl w:ilvl="0">
      <w:start w:val="1"/>
      <w:numFmt w:val="upperLetter"/>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7"/>
      <w:numFmt w:val="upperLetter"/>
      <w:lvlText w:val="%1."/>
      <w:lvlJc w:val="start"/>
      <w:pPr>
        <w:tabs>
          <w:tab w:val="num" w:pos="360"/>
        </w:tabs>
        <w:ind w:start="36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outlineLvl w:val="4"/>
    </w:pPr>
    <w:rPr>
      <w:sz w:val="28"/>
    </w:rPr>
  </w:style>
  <w:style w:type="paragraph" w:styleId="Heading6">
    <w:name w:val="heading 6"/>
    <w:basedOn w:val="Normal"/>
    <w:next w:val="Normal"/>
    <w:qFormat/>
    <w:pPr>
      <w:keepNext w:val="true"/>
      <w:numPr>
        <w:ilvl w:val="5"/>
        <w:numId w:val="1"/>
      </w:numPr>
      <w:outlineLvl w:val="5"/>
    </w:pPr>
    <w:rPr>
      <w:b/>
      <w:color w:val="000000"/>
      <w:sz w:val="24"/>
      <w:lang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2001-02-14T19:11:00Z</dcterms:created>
  <dc:creator>Scott Vonderheide</dc:creator>
  <dc:description/>
  <dc:language>en-CA</dc:language>
  <cp:lastModifiedBy>Scott Vonderheide</cp:lastModifiedBy>
  <cp:lastPrinted>2001-02-14T13:08:00Z</cp:lastPrinted>
  <dcterms:modified xsi:type="dcterms:W3CDTF">2001-02-14T19:11:00Z</dcterms:modified>
  <cp:revision>2</cp:revision>
  <dc:subject/>
  <dc:title>Draft</dc:title>
</cp:coreProperties>
</file>