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October 1, 2000</w:t>
      </w:r>
    </w:p>
    <w:p>
      <w:pPr>
        <w:pStyle w:val="Normal"/>
        <w:jc w:val="center"/>
        <w:rPr/>
      </w:pPr>
      <w:r>
        <w:rPr/>
      </w:r>
    </w:p>
    <w:p>
      <w:pPr>
        <w:pStyle w:val="Normal"/>
        <w:rPr/>
      </w:pPr>
      <w:r>
        <w:rPr/>
      </w:r>
    </w:p>
    <w:p>
      <w:pPr>
        <w:pStyle w:val="Normal"/>
        <w:rPr/>
      </w:pPr>
      <w:r>
        <w:rPr/>
      </w:r>
    </w:p>
    <w:p>
      <w:pPr>
        <w:pStyle w:val="Normal"/>
        <w:rPr/>
      </w:pPr>
      <w:r>
        <w:rPr/>
      </w:r>
    </w:p>
    <w:p>
      <w:pPr>
        <w:pStyle w:val="Normal"/>
        <w:rPr/>
      </w:pPr>
      <w:r>
        <w:rPr/>
        <w:t>EOTT Energy Operating Limited Partnership</w:t>
      </w:r>
    </w:p>
    <w:p>
      <w:pPr>
        <w:pStyle w:val="Normal"/>
        <w:rPr/>
      </w:pPr>
      <w:r>
        <w:rPr/>
        <w:t>Attn.:  Crude Oil Accounting</w:t>
      </w:r>
    </w:p>
    <w:p>
      <w:pPr>
        <w:pStyle w:val="Normal"/>
        <w:rPr/>
      </w:pPr>
      <w:r>
        <w:rPr/>
        <w:t>P.O. Box 4666</w:t>
      </w:r>
    </w:p>
    <w:p>
      <w:pPr>
        <w:pStyle w:val="Normal"/>
        <w:rPr/>
      </w:pPr>
      <w:r>
        <w:rPr/>
        <w:t>Houston, Texas  77210-4666</w:t>
      </w:r>
    </w:p>
    <w:p>
      <w:pPr>
        <w:pStyle w:val="Normal"/>
        <w:rPr/>
      </w:pPr>
      <w:r>
        <w:rPr/>
      </w:r>
    </w:p>
    <w:p>
      <w:pPr>
        <w:pStyle w:val="Normal"/>
        <w:jc w:val="center"/>
        <w:rPr/>
      </w:pPr>
      <w:r>
        <w:rPr/>
        <w:t>C O N F I R M A T I O N   L E T T E R</w:t>
      </w:r>
    </w:p>
    <w:p>
      <w:pPr>
        <w:pStyle w:val="Normal"/>
        <w:jc w:val="both"/>
        <w:rPr/>
      </w:pPr>
      <w:r>
        <w:rPr/>
      </w:r>
    </w:p>
    <w:p>
      <w:pPr>
        <w:pStyle w:val="Normal"/>
        <w:jc w:val="both"/>
        <w:rPr/>
      </w:pPr>
      <w:r>
        <w:rPr/>
        <w:tab/>
        <w:t xml:space="preserve">This Confirmation Letter shall confirm the Transaction agreed to and binding between EOTT Energy Operating Limited Partnership (“Customer”) and Enron North America Corp. (“Company”) regarding the purchase and sale of Gas on the following terms and conditions. Company to purchase and receive and Customer to sell and deliver. </w:t>
      </w:r>
    </w:p>
    <w:p>
      <w:pPr>
        <w:pStyle w:val="BodyText"/>
        <w:rPr/>
      </w:pPr>
      <w:r>
        <w:rPr/>
      </w:r>
    </w:p>
    <w:p>
      <w:pPr>
        <w:pStyle w:val="Normal"/>
        <w:jc w:val="both"/>
        <w:rPr/>
      </w:pPr>
      <w:r>
        <w:rPr/>
      </w:r>
    </w:p>
    <w:p>
      <w:pPr>
        <w:pStyle w:val="BodyTextIndent3"/>
        <w:rPr/>
      </w:pPr>
      <w:r>
        <w:rPr/>
        <w:t>DCQ:</w:t>
        <w:tab/>
        <w:t xml:space="preserve">All volumes available for sale from Customer’s Bazor and Masonite wells after processing less shrinkage and fuel, currently estimated to be approximately 6,000 to 8,000 MMBtu per Day.  </w:t>
      </w:r>
    </w:p>
    <w:p>
      <w:pPr>
        <w:pStyle w:val="Normal"/>
        <w:jc w:val="both"/>
        <w:rPr/>
      </w:pPr>
      <w:r>
        <w:rPr/>
      </w:r>
    </w:p>
    <w:p>
      <w:pPr>
        <w:pStyle w:val="BodyTextIndent"/>
        <w:jc w:val="both"/>
        <w:rPr/>
      </w:pPr>
      <w:r>
        <w:rPr/>
        <w:t>DELIVERY POINT:</w:t>
        <w:tab/>
        <w:t>Meter Number 996800 on Destin Pipeline</w:t>
      </w:r>
    </w:p>
    <w:p>
      <w:pPr>
        <w:pStyle w:val="Normal"/>
        <w:ind w:hanging="2880" w:start="2880" w:end="0"/>
        <w:jc w:val="both"/>
        <w:rPr/>
      </w:pPr>
      <w:r>
        <w:rPr/>
      </w:r>
    </w:p>
    <w:p>
      <w:pPr>
        <w:pStyle w:val="Normal"/>
        <w:ind w:hanging="2880" w:start="2880" w:end="0"/>
        <w:jc w:val="both"/>
        <w:rPr/>
      </w:pPr>
      <w:r>
        <w:rPr/>
        <w:t>CONTRACT PRICE:</w:t>
        <w:tab/>
        <w:t xml:space="preserve">The Contract Price for the period of October, 2000 shall be the Midpoint price published on each calendar day during the Period of Delivery under the heading “Daily Price Survey” in the Louisiana—Onshore South – Sonat section of </w:t>
      </w:r>
      <w:r>
        <w:rPr>
          <w:u w:val="single"/>
        </w:rPr>
        <w:t>Gas Daily</w:t>
      </w:r>
      <w:r>
        <w:rPr/>
        <w:t>, or if a calendar day is not a business day then the Contract Price for such calendar day will be the Daily Midpoint price published on the next succeeding business day.</w:t>
      </w:r>
    </w:p>
    <w:p>
      <w:pPr>
        <w:pStyle w:val="Normal"/>
        <w:ind w:hanging="2880" w:start="2880" w:end="0"/>
        <w:jc w:val="both"/>
        <w:rPr/>
      </w:pPr>
      <w:r>
        <w:rPr/>
      </w:r>
    </w:p>
    <w:p>
      <w:pPr>
        <w:pStyle w:val="Normal"/>
        <w:ind w:hanging="2880" w:start="2880" w:end="0"/>
        <w:jc w:val="both"/>
        <w:rPr/>
      </w:pPr>
      <w:r>
        <w:rPr/>
        <w:t xml:space="preserve"> </w:t>
      </w:r>
      <w:r>
        <w:rPr/>
        <w:tab/>
        <w:t xml:space="preserve">The Contract Price for the period of November 1, 2000 through February 28, 2001 shall be the average of (i) the “Index Price” published in </w:t>
      </w:r>
      <w:r>
        <w:rPr>
          <w:u w:val="single"/>
        </w:rPr>
        <w:t>Inside F.E.R.C.’s Gas Market Report</w:t>
      </w:r>
      <w:r>
        <w:rPr/>
        <w:t xml:space="preserve"> for Transcontinental Gas Pipe Line Corp., Zone 3, as listed in the table entitled “Prices of Spot Gas Delivered to Pipelines” in the first-of-the-month issue of such publication for each Month during the Period of Delivery, (ii) the “Index Price” published in </w:t>
      </w:r>
      <w:r>
        <w:rPr>
          <w:u w:val="single"/>
        </w:rPr>
        <w:t>Inside F.E.R.C.’s Gas Market Report</w:t>
      </w:r>
      <w:r>
        <w:rPr/>
        <w:t xml:space="preserve"> for Southern Natural Gas Co., Louisiana, as listed in the table entitled “Prices of Spot Gas Delivered to Pipelines” in the first-of-the-month issue of such publication for each Month during the Period of Delivery and (iii) the “Index Price” published in </w:t>
      </w:r>
      <w:r>
        <w:rPr>
          <w:u w:val="single"/>
        </w:rPr>
        <w:t>Inside F.E.R.C.’s Gas Market Report</w:t>
      </w:r>
      <w:r>
        <w:rPr/>
        <w:t xml:space="preserve"> for Florida Gas Transmission Co., Zone 3, as listed in the table entitled “Prices of Spot Gas Delivered to Pipelines” in the first-of-the-month issue of such publication for each Month during the Period of Delivery </w:t>
      </w:r>
      <w:r>
        <w:rPr>
          <w:u w:val="single"/>
        </w:rPr>
        <w:t>plus</w:t>
      </w:r>
      <w:r>
        <w:rPr/>
        <w:t xml:space="preserve"> $0.01 per MMBtu </w:t>
      </w:r>
      <w:r>
        <w:rPr>
          <w:u w:val="single"/>
        </w:rPr>
        <w:t>less</w:t>
      </w:r>
      <w:r>
        <w:rPr/>
        <w:t xml:space="preserve"> applicable transportation fees and fuel.</w:t>
      </w:r>
    </w:p>
    <w:p>
      <w:pPr>
        <w:pStyle w:val="Normal"/>
        <w:ind w:hanging="2880" w:start="2880" w:end="0"/>
        <w:jc w:val="both"/>
        <w:rPr/>
      </w:pPr>
      <w:r>
        <w:rPr/>
      </w:r>
    </w:p>
    <w:p>
      <w:pPr>
        <w:pStyle w:val="Normal"/>
        <w:ind w:hanging="2880" w:start="2880" w:end="0"/>
        <w:jc w:val="both"/>
        <w:rPr/>
      </w:pPr>
      <w:r>
        <w:rPr/>
        <w:tab/>
      </w:r>
    </w:p>
    <w:p>
      <w:pPr>
        <w:pStyle w:val="Normal"/>
        <w:jc w:val="both"/>
        <w:rPr/>
      </w:pPr>
      <w:r>
        <w:rPr/>
        <w:t>THE PERIOD OF</w:t>
      </w:r>
    </w:p>
    <w:p>
      <w:pPr>
        <w:pStyle w:val="Normal"/>
        <w:ind w:hanging="2880" w:start="2880" w:end="0"/>
        <w:jc w:val="both"/>
        <w:rPr/>
      </w:pPr>
      <w:r>
        <w:rPr/>
        <w:t>DELIVERY:</w:t>
        <w:tab/>
        <w:t xml:space="preserve">October 1, 2000 through February 28, 2001 (the “Initial Term”) and continuing for a term of one year thereafter (the “Secondary Term”) unless terminated by providing written notice 30 days prior to the end of the Initial Term.  This Agreement shall continue in effect from year-to-year after the Secondary Term unless terminated by written notice 60 days prior to the end of the Secondary Term. </w:t>
      </w:r>
    </w:p>
    <w:p>
      <w:pPr>
        <w:pStyle w:val="Normal"/>
        <w:ind w:hanging="2880" w:start="2880" w:end="0"/>
        <w:jc w:val="both"/>
        <w:rPr/>
      </w:pPr>
      <w:r>
        <w:rPr/>
      </w:r>
    </w:p>
    <w:p>
      <w:pPr>
        <w:pStyle w:val="BodyTextIndent2"/>
        <w:ind w:hanging="2880" w:start="2880" w:end="0"/>
        <w:rPr/>
      </w:pPr>
      <w:r>
        <w:rPr/>
        <w:t>OTHER PROVISIONS:</w:t>
        <w:tab/>
        <w:t xml:space="preserve">Notwithstanding anything to the contrary in the Agreement, Customer shall not be liable for Seller’s Deficiency Default under Section 3.2 or corrections of Imbalances, Cash Outs and Penalties under Section 7.2 of the Agreement in the event that Seller’s well does not produce quantities sufficient to equal the DCQ.  Notwithstanding anything to the contrary in the Agreement, the following sentence does not apply to this Transaction:  “The difference, if any, between Scheduled and actual quantities delivered or accepted shall be treated as Imbalances under </w:t>
      </w:r>
      <w:r>
        <w:rPr>
          <w:u w:val="single"/>
        </w:rPr>
        <w:t>Article 7</w:t>
      </w:r>
      <w:r>
        <w:rPr/>
        <w:t>.”</w:t>
      </w:r>
    </w:p>
    <w:p>
      <w:pPr>
        <w:pStyle w:val="Normal"/>
        <w:jc w:val="both"/>
        <w:rPr/>
      </w:pPr>
      <w:r>
        <w:rPr/>
      </w:r>
    </w:p>
    <w:p>
      <w:pPr>
        <w:pStyle w:val="Normal"/>
        <w:jc w:val="both"/>
        <w:rPr/>
      </w:pPr>
      <w:r>
        <w:rPr/>
      </w:r>
    </w:p>
    <w:p>
      <w:pPr>
        <w:pStyle w:val="Normal"/>
        <w:jc w:val="both"/>
        <w:rPr/>
      </w:pPr>
      <w:r>
        <w:rPr/>
        <w:t>This Confirmation is being provided pursuant to and in accordance with the Enfolio Master Firm Purchase/Sale Agreement dated August 1, 2000 in effect between Customer and Company (the “Agreement”) and constitutes part of and is subject to all of the terms and provisions of such agreement.  All capitalized term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pPr>
      <w:r>
        <w:rPr/>
      </w:r>
    </w:p>
    <w:p>
      <w:pPr>
        <w:pStyle w:val="Normal"/>
        <w:jc w:val="both"/>
        <w:rPr/>
      </w:pPr>
      <w:r>
        <w:rPr/>
      </w:r>
      <w:r>
        <w:br w:type="page"/>
      </w:r>
    </w:p>
    <w:p>
      <w:pPr>
        <w:pStyle w:val="Normal"/>
        <w:jc w:val="both"/>
        <w:rPr/>
      </w:pPr>
      <w:r>
        <w:rPr/>
        <w:t>Agreed to and accepted this</w:t>
      </w:r>
    </w:p>
    <w:p>
      <w:pPr>
        <w:pStyle w:val="Normal"/>
        <w:jc w:val="both"/>
        <w:rPr/>
      </w:pPr>
      <w:r>
        <w:rPr/>
        <w:t>_____ day of _______, 2000, by:</w:t>
      </w:r>
    </w:p>
    <w:p>
      <w:pPr>
        <w:pStyle w:val="Normal"/>
        <w:jc w:val="both"/>
        <w:rPr/>
      </w:pPr>
      <w:r>
        <w:rPr/>
      </w:r>
    </w:p>
    <w:p>
      <w:pPr>
        <w:pStyle w:val="Normal"/>
        <w:jc w:val="both"/>
        <w:rPr/>
      </w:pPr>
      <w:r>
        <w:rPr/>
        <w:t>EOTT ENERGY OPERATING LIMITED PARTNERSHIP</w:t>
      </w:r>
    </w:p>
    <w:p>
      <w:pPr>
        <w:pStyle w:val="Normal"/>
        <w:jc w:val="both"/>
        <w:rPr/>
      </w:pPr>
      <w:r>
        <w:rPr/>
        <w:t>By:  EOTT Energy Corp., its General Partner</w:t>
      </w:r>
    </w:p>
    <w:p>
      <w:pPr>
        <w:pStyle w:val="Normal"/>
        <w:jc w:val="both"/>
        <w:rPr/>
      </w:pPr>
      <w:r>
        <w:rPr/>
        <w:t>By:</w:t>
      </w:r>
      <w:r>
        <w:rPr>
          <w:u w:val="single"/>
        </w:rPr>
        <w:tab/>
        <w:tab/>
        <w:tab/>
        <w:tab/>
        <w:tab/>
        <w:tab/>
        <w:tab/>
        <w:tab/>
      </w:r>
    </w:p>
    <w:p>
      <w:pPr>
        <w:pStyle w:val="Normal"/>
        <w:jc w:val="both"/>
        <w:rPr/>
      </w:pPr>
      <w:r>
        <w:rPr/>
        <w:t>Name:</w:t>
      </w:r>
      <w:r>
        <w:rPr>
          <w:u w:val="single"/>
        </w:rPr>
        <w:tab/>
        <w:tab/>
        <w:tab/>
        <w:tab/>
        <w:tab/>
        <w:tab/>
        <w:tab/>
        <w:tab/>
      </w:r>
    </w:p>
    <w:p>
      <w:pPr>
        <w:pStyle w:val="Normal"/>
        <w:jc w:val="both"/>
        <w:rPr/>
      </w:pPr>
      <w:r>
        <w:rPr/>
        <w:t>Title:</w:t>
      </w:r>
      <w:r>
        <w:rPr>
          <w:u w:val="single"/>
        </w:rPr>
        <w:tab/>
        <w:tab/>
        <w:tab/>
        <w:tab/>
        <w:tab/>
        <w:tab/>
        <w:tab/>
        <w:tab/>
      </w:r>
    </w:p>
    <w:p>
      <w:pPr>
        <w:pStyle w:val="Normal"/>
        <w:rPr>
          <w:u w:val="single"/>
        </w:rPr>
      </w:pPr>
      <w:r>
        <w:rPr>
          <w:u w:val="single"/>
        </w:rPr>
      </w:r>
    </w:p>
    <w:sectPr>
      <w:headerReference w:type="default" r:id="rId2"/>
      <w:headerReference w:type="first" r:id="rId3"/>
      <w:footerReference w:type="default" r:id="rId4"/>
      <w:footerReference w:type="first" r:id="rId5"/>
      <w:type w:val="nextPage"/>
      <w:pgSz w:w="12240" w:h="15840"/>
      <w:pgMar w:left="1440" w:right="1440" w:gutter="0" w:header="706" w:top="1440" w:footer="706"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O:\common\sdickson\letters\eott energy.doc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EOTT Energy Operating Limited Partnership</w:t>
    </w:r>
  </w:p>
  <w:p>
    <w:pPr>
      <w:pStyle w:val="Header"/>
      <w:rPr/>
    </w:pPr>
    <w:r>
      <w:rPr/>
      <w:t>September 1,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2880" w:leader="none"/>
      </w:tabs>
      <w:ind w:hanging="3600" w:start="3600" w:end="0"/>
      <w:jc w:val="both"/>
    </w:pPr>
    <w:rPr/>
  </w:style>
  <w:style w:type="paragraph" w:styleId="BodyTextIndent3">
    <w:name w:val="Body Text Indent 3"/>
    <w:basedOn w:val="Normal"/>
    <w:qFormat/>
    <w:pPr>
      <w:ind w:hanging="2880" w:start="2880" w:end="0"/>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2000-08-01T19:08:00Z</dcterms:created>
  <dc:creator>lnoske</dc:creator>
  <dc:description/>
  <dc:language>en-CA</dc:language>
  <cp:lastModifiedBy>sdickso</cp:lastModifiedBy>
  <cp:lastPrinted>2000-09-12T09:42:00Z</cp:lastPrinted>
  <dcterms:modified xsi:type="dcterms:W3CDTF">2000-10-04T18:51:00Z</dcterms:modified>
  <cp:revision>12</cp:revision>
  <dc:subject/>
  <dc:title/>
</cp:coreProperties>
</file>