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>
          <w:sz w:val="20"/>
        </w:rPr>
      </w:pPr>
      <w:r>
        <w:rPr>
          <w:sz w:val="20"/>
        </w:rPr>
        <w:t xml:space="preserve">2. The terms of the particular Transaction to which this Confirmation relates are as follows: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ab/>
        <w:t>Type of Transaction:</w:t>
        <w:tab/>
        <w:t>Forward Foreign Exchange Swap Transaction</w:t>
      </w:r>
    </w:p>
    <w:p>
      <w:pPr>
        <w:pStyle w:val="Normal"/>
        <w:rPr>
          <w:sz w:val="20"/>
        </w:rPr>
      </w:pPr>
      <w:r>
        <w:rPr>
          <w:sz w:val="20"/>
        </w:rPr>
        <w:tab/>
      </w:r>
    </w:p>
    <w:p>
      <w:pPr>
        <w:pStyle w:val="Normal"/>
        <w:rPr>
          <w:sz w:val="20"/>
        </w:rPr>
      </w:pPr>
      <w:r>
        <w:rPr>
          <w:sz w:val="20"/>
        </w:rPr>
        <w:tab/>
        <w:t>Trade Date:</w:t>
        <w:tab/>
        <w:tab/>
        <w:t>trade date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ab/>
        <w:t>Effective Date:</w:t>
        <w:tab/>
        <w:tab/>
        <w:t>start date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ab/>
        <w:t>Termination Date:</w:t>
        <w:tab/>
        <w:t>last day of the final Calculation Period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ab/>
        <w:t>Fixed Forward Rate:</w:t>
        <w:tab/>
        <w:t>Refer to Section 4 below.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BodyTextIndent"/>
        <w:ind w:hanging="2160" w:start="2880" w:end="0"/>
        <w:jc w:val="both"/>
        <w:rPr/>
      </w:pPr>
      <w:r>
        <w:rPr/>
        <w:t>Floating Settlement Rate:</w:t>
        <w:tab/>
        <w:t>the CAD/USD rate as set forth on Reuters page BOFC under the headings ‘Bank of Canada’; ‘Canadian Dollar Exchange rates’; ‘Noon’, opposite the caption ‘USD’ as of 12:00 p.m. noon, Toronto time, on the Valuation Date</w:t>
      </w:r>
    </w:p>
    <w:p>
      <w:pPr>
        <w:pStyle w:val="Normal"/>
        <w:rPr>
          <w:sz w:val="20"/>
        </w:rPr>
      </w:pPr>
      <w:r>
        <w:rPr>
          <w:sz w:val="20"/>
        </w:rPr>
        <w:tab/>
      </w:r>
    </w:p>
    <w:p>
      <w:pPr>
        <w:pStyle w:val="Normal"/>
        <w:rPr>
          <w:sz w:val="20"/>
        </w:rPr>
      </w:pPr>
      <w:r>
        <w:rPr>
          <w:sz w:val="20"/>
        </w:rPr>
        <w:tab/>
        <w:t>Notional Amount:</w:t>
        <w:tab/>
        <w:t>USD notional amount set forth in Section 4 below.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ab/>
        <w:t>Payment Date:</w:t>
        <w:tab/>
        <w:tab/>
        <w:t>Refer to Section 4 below.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ab/>
        <w:t>Payment Amount:</w:t>
        <w:tab/>
        <w:t>The Net CAD Amount as determined by the calculation in Section 5 below.</w:t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BlockText"/>
        <w:ind w:hanging="2160" w:start="2880" w:end="-360"/>
        <w:rPr/>
      </w:pPr>
      <w:r>
        <w:rPr/>
        <w:t>Valuation Date:</w:t>
        <w:tab/>
        <w:t>The first Business Day of each Calculation Period as specified in Section 4 below.</w:t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ab/>
        <w:t>Business Day:</w:t>
        <w:tab/>
        <w:tab/>
        <w:t>Any Toronto Business Day.</w:t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ab/>
        <w:t>Calculation Agent:</w:t>
        <w:tab/>
        <w:t>Enron</w:t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>3. Account Details</w:t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ab/>
        <w:t>CAD Payment to Enron:</w:t>
        <w:tab/>
        <w:t>instructions</w:t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ab/>
        <w:t>CAD Payments to ____:</w:t>
        <w:tab/>
        <w:t>instructions</w:t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 xml:space="preserve">4. </w:t>
        <w:tab/>
        <w:t>Fixed Forward</w:t>
        <w:tab/>
        <w:t>Notional</w:t>
        <w:tab/>
        <w:tab/>
        <w:tab/>
      </w:r>
    </w:p>
    <w:p>
      <w:pPr>
        <w:pStyle w:val="Normal"/>
        <w:ind w:end="-360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ab/>
      </w:r>
      <w:r>
        <w:rPr>
          <w:sz w:val="20"/>
          <w:u w:val="single"/>
        </w:rPr>
        <w:t>Rate</w:t>
        <w:tab/>
        <w:t xml:space="preserve">         </w:t>
      </w:r>
      <w:r>
        <w:rPr>
          <w:sz w:val="20"/>
        </w:rPr>
        <w:tab/>
      </w:r>
      <w:r>
        <w:rPr>
          <w:sz w:val="20"/>
          <w:u w:val="single"/>
        </w:rPr>
        <w:t>Amount</w:t>
        <w:tab/>
      </w:r>
      <w:r>
        <w:rPr>
          <w:sz w:val="20"/>
        </w:rPr>
        <w:tab/>
        <w:tab/>
      </w:r>
      <w:r>
        <w:rPr>
          <w:sz w:val="20"/>
          <w:u w:val="single"/>
        </w:rPr>
        <w:t>Calculation Period</w:t>
      </w:r>
      <w:r>
        <w:rPr>
          <w:sz w:val="20"/>
        </w:rPr>
        <w:t xml:space="preserve"> </w:t>
        <w:tab/>
      </w:r>
      <w:r>
        <w:rPr>
          <w:sz w:val="20"/>
          <w:u w:val="single"/>
        </w:rPr>
        <w:t>Payment Date</w:t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ab/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>5.</w:t>
        <w:tab/>
        <w:t>The Payment Amount to be paid on each Payment Date is calculated as follows:</w:t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firstLine="720" w:end="-360"/>
        <w:rPr>
          <w:sz w:val="20"/>
        </w:rPr>
      </w:pPr>
      <w:r>
        <w:rPr>
          <w:sz w:val="20"/>
        </w:rPr>
        <w:t>The Net CAD Amount is equal to the absolute value of:</w:t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ab/>
        <w:tab/>
        <w:t>Notional Amount * (Fixed Forward Rate – Floating Settlement Rate)</w:t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firstLine="720" w:end="-360"/>
        <w:rPr>
          <w:sz w:val="20"/>
        </w:rPr>
      </w:pPr>
      <w:r>
        <w:rPr>
          <w:sz w:val="20"/>
        </w:rPr>
        <w:t>where:</w:t>
      </w:r>
    </w:p>
    <w:p>
      <w:pPr>
        <w:pStyle w:val="Normal"/>
        <w:ind w:firstLine="720" w:end="-360"/>
        <w:rPr>
          <w:sz w:val="20"/>
        </w:rPr>
      </w:pPr>
      <w:r>
        <w:rPr>
          <w:sz w:val="20"/>
        </w:rPr>
        <w:tab/>
      </w:r>
    </w:p>
    <w:p>
      <w:pPr>
        <w:pStyle w:val="Normal"/>
        <w:ind w:hanging="720" w:start="1440" w:end="-360"/>
        <w:rPr>
          <w:sz w:val="20"/>
        </w:rPr>
      </w:pPr>
      <w:r>
        <w:rPr>
          <w:sz w:val="20"/>
        </w:rPr>
        <w:t>(i)</w:t>
        <w:tab/>
        <w:t>If the Fixed Forward Rate is greater than the Floating Settlement Rate, then _____ pays the Net CAD Amount to _______; or</w:t>
      </w:r>
    </w:p>
    <w:p>
      <w:pPr>
        <w:pStyle w:val="Normal"/>
        <w:ind w:hanging="720" w:start="1440" w:end="-360"/>
        <w:rPr>
          <w:sz w:val="20"/>
        </w:rPr>
      </w:pPr>
      <w:r>
        <w:rPr>
          <w:sz w:val="20"/>
        </w:rPr>
        <w:t>(ii)</w:t>
        <w:tab/>
        <w:t>If the Fixed Forward Rate is less than the Floating Settlement Rate, then _____ pays the Net CAD Amount to ________; or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620" w:leader="none"/>
        </w:tabs>
        <w:ind w:hanging="180" w:start="1620" w:end="-360"/>
        <w:rPr>
          <w:sz w:val="20"/>
        </w:rPr>
      </w:pPr>
      <w:r>
        <w:rPr>
          <w:sz w:val="20"/>
        </w:rPr>
        <w:t>If the Fixed Forward Rate is equal to the Floating Settlement Rate, then neither party pays any monies.</w:t>
      </w:r>
    </w:p>
    <w:p>
      <w:pPr>
        <w:pStyle w:val="Normal"/>
        <w:ind w:start="2160" w:end="-360"/>
        <w:rPr>
          <w:sz w:val="20"/>
        </w:rPr>
      </w:pPr>
      <w:r>
        <w:rPr>
          <w:sz w:val="20"/>
        </w:rPr>
        <w:tab/>
      </w:r>
    </w:p>
    <w:p>
      <w:pPr>
        <w:pStyle w:val="Normal"/>
        <w:ind w:start="2160" w:end="-360"/>
        <w:rPr>
          <w:sz w:val="20"/>
        </w:rPr>
      </w:pPr>
      <w:r>
        <w:rPr>
          <w:sz w:val="20"/>
        </w:rPr>
      </w:r>
    </w:p>
    <w:p>
      <w:pPr>
        <w:pStyle w:val="Normal"/>
        <w:ind w:start="2160" w:end="-360"/>
        <w:rPr>
          <w:sz w:val="20"/>
        </w:rPr>
      </w:pPr>
      <w:r>
        <w:rPr>
          <w:sz w:val="20"/>
        </w:rPr>
      </w:r>
    </w:p>
    <w:p>
      <w:pPr>
        <w:pStyle w:val="Normal"/>
        <w:ind w:start="2160" w:end="-360"/>
        <w:rPr>
          <w:sz w:val="20"/>
        </w:rPr>
      </w:pPr>
      <w:r>
        <w:rPr>
          <w:sz w:val="20"/>
        </w:rPr>
      </w:r>
    </w:p>
    <w:p>
      <w:pPr>
        <w:pStyle w:val="Normal"/>
        <w:ind w:start="2160" w:end="-360"/>
        <w:rPr>
          <w:sz w:val="20"/>
        </w:rPr>
      </w:pPr>
      <w:r>
        <w:rPr>
          <w:sz w:val="20"/>
        </w:rPr>
      </w:r>
    </w:p>
    <w:p>
      <w:pPr>
        <w:pStyle w:val="Normal"/>
        <w:ind w:start="2160" w:end="-360"/>
        <w:rPr>
          <w:sz w:val="20"/>
        </w:rPr>
      </w:pPr>
      <w:r>
        <w:rPr>
          <w:sz w:val="20"/>
        </w:rPr>
      </w:r>
    </w:p>
    <w:p>
      <w:pPr>
        <w:pStyle w:val="Normal"/>
        <w:ind w:start="2160" w:end="-360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 xml:space="preserve">2. The terms of the particular Transaction to which this Confirmation relates are as follows: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ab/>
        <w:t>Type of Transaction:</w:t>
        <w:tab/>
        <w:t xml:space="preserve">Forward Foreign Exchange Transaction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ab/>
        <w:t>Trade Date:</w:t>
        <w:tab/>
        <w:tab/>
        <w:t>trade date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ab/>
        <w:t>Effective Date:</w:t>
        <w:tab/>
        <w:tab/>
        <w:t>effective date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ab/>
        <w:t>Termination Date:</w:t>
        <w:tab/>
        <w:t>last day of the Calculation Period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ab/>
        <w:t>Fixed Forward Rate:</w:t>
        <w:tab/>
        <w:t>rate submitted by counterparty.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tabs>
          <w:tab w:val="left" w:pos="720" w:leader="none"/>
        </w:tabs>
        <w:ind w:hanging="2880" w:start="2880" w:end="0"/>
        <w:jc w:val="both"/>
        <w:rPr>
          <w:sz w:val="20"/>
        </w:rPr>
      </w:pPr>
      <w:r>
        <w:rPr>
          <w:sz w:val="20"/>
        </w:rPr>
        <w:tab/>
        <w:t>Floating Settlement Rate:</w:t>
        <w:tab/>
        <w:t>the CAD/USD rate as set forth on Reuters page BOFC under the headings ‘Bank of Canada’; ‘Canadian Dollar Exchange rates’; ‘Noon’, opposite the caption ‘USD’ as of 12:00 p.m. noon, Toronto time, on the Valuation Date</w:t>
      </w:r>
    </w:p>
    <w:p>
      <w:pPr>
        <w:pStyle w:val="Normal"/>
        <w:rPr>
          <w:sz w:val="20"/>
        </w:rPr>
      </w:pPr>
      <w:r>
        <w:rPr>
          <w:sz w:val="20"/>
        </w:rPr>
        <w:tab/>
      </w:r>
    </w:p>
    <w:p>
      <w:pPr>
        <w:pStyle w:val="Normal"/>
        <w:rPr>
          <w:sz w:val="20"/>
        </w:rPr>
      </w:pPr>
      <w:r>
        <w:rPr>
          <w:sz w:val="20"/>
        </w:rPr>
        <w:tab/>
        <w:t>Notional Amount:</w:t>
        <w:tab/>
        <w:t>USD notional amount submitted by counterparty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ab/>
        <w:t>Calculation Period:</w:t>
        <w:tab/>
        <w:t>date submitted by counterparty.</w:t>
      </w:r>
    </w:p>
    <w:p>
      <w:pPr>
        <w:pStyle w:val="Normal"/>
        <w:rPr>
          <w:sz w:val="20"/>
        </w:rPr>
      </w:pPr>
      <w:r>
        <w:rPr>
          <w:sz w:val="20"/>
        </w:rPr>
        <w:tab/>
      </w:r>
    </w:p>
    <w:p>
      <w:pPr>
        <w:pStyle w:val="Normal"/>
        <w:rPr>
          <w:sz w:val="20"/>
        </w:rPr>
      </w:pPr>
      <w:r>
        <w:rPr>
          <w:sz w:val="20"/>
        </w:rPr>
        <w:tab/>
        <w:t>Payment Date:</w:t>
        <w:tab/>
        <w:tab/>
        <w:t>one (1) Business Day following the the Valuation Date.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ab/>
        <w:t>Payment Amount:</w:t>
        <w:tab/>
        <w:t>The Net CAD Amount as determined by the calculation in Section 4 below.</w:t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ab/>
        <w:t>Valuation Date:</w:t>
        <w:tab/>
        <w:tab/>
        <w:t>The first Business Day of the Calculation Period</w:t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ab/>
        <w:t>Business Day:</w:t>
        <w:tab/>
        <w:tab/>
        <w:t>Any Toronto Business Day.</w:t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ab/>
        <w:t>Calculation Agent:</w:t>
        <w:tab/>
        <w:t>Enron</w:t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>3. Account Details</w:t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ab/>
        <w:t>CAD Payment to Enron:</w:t>
        <w:tab/>
        <w:t>instructions</w:t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ab/>
        <w:t>CAD Payments to ____:</w:t>
        <w:tab/>
        <w:t>instructions</w:t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ab/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>4.</w:t>
        <w:tab/>
        <w:t>The Payment Amount to be paid on the Payment Date is calculated as follows:</w:t>
      </w:r>
    </w:p>
    <w:p>
      <w:pPr>
        <w:pStyle w:val="Normal"/>
        <w:ind w:end="-360"/>
        <w:rPr>
          <w:sz w:val="20"/>
        </w:rPr>
      </w:pPr>
      <w:r>
        <w:rPr>
          <w:sz w:val="20"/>
        </w:rPr>
        <w:t xml:space="preserve">    </w:t>
      </w:r>
    </w:p>
    <w:p>
      <w:pPr>
        <w:pStyle w:val="Normal"/>
        <w:ind w:end="-360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The Net CAD Amount is equal to the absolute value of:</w:t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20"/>
        </w:rPr>
      </w:pPr>
      <w:r>
        <w:rPr>
          <w:sz w:val="20"/>
        </w:rPr>
        <w:tab/>
        <w:tab/>
        <w:t>Notional Amount * (Fixed Forward Rate – Floating Forward Rate)</w:t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firstLine="720" w:end="-360"/>
        <w:rPr>
          <w:sz w:val="20"/>
        </w:rPr>
      </w:pPr>
      <w:r>
        <w:rPr>
          <w:sz w:val="20"/>
        </w:rPr>
        <w:t>where:</w:t>
      </w:r>
    </w:p>
    <w:p>
      <w:pPr>
        <w:pStyle w:val="Normal"/>
        <w:ind w:firstLine="720" w:end="-360"/>
        <w:rPr>
          <w:sz w:val="20"/>
        </w:rPr>
      </w:pPr>
      <w:r>
        <w:rPr>
          <w:sz w:val="20"/>
        </w:rPr>
        <w:tab/>
      </w:r>
    </w:p>
    <w:p>
      <w:pPr>
        <w:pStyle w:val="Normal"/>
        <w:numPr>
          <w:ilvl w:val="0"/>
          <w:numId w:val="2"/>
        </w:numPr>
        <w:ind w:hanging="720" w:start="2160" w:end="-360"/>
        <w:rPr>
          <w:sz w:val="20"/>
        </w:rPr>
      </w:pPr>
      <w:r>
        <w:rPr>
          <w:sz w:val="20"/>
        </w:rPr>
        <w:t>If the Fixed Forward Rate is greater than the Floating Settlement Rate, then _____ pays the Net CAD Amount to _______;or</w:t>
      </w:r>
    </w:p>
    <w:p>
      <w:pPr>
        <w:pStyle w:val="Normal"/>
        <w:numPr>
          <w:ilvl w:val="0"/>
          <w:numId w:val="2"/>
        </w:numPr>
        <w:ind w:hanging="720" w:start="2160" w:end="-360"/>
        <w:rPr>
          <w:sz w:val="20"/>
        </w:rPr>
      </w:pPr>
      <w:r>
        <w:rPr>
          <w:sz w:val="20"/>
        </w:rPr>
        <w:t>If the Fixed Forward Rate is less than the Floating Settlemtn Rate, then _____ pays the Net CAD Amount to _______; or</w:t>
      </w:r>
    </w:p>
    <w:p>
      <w:pPr>
        <w:pStyle w:val="Normal"/>
        <w:numPr>
          <w:ilvl w:val="0"/>
          <w:numId w:val="2"/>
        </w:numPr>
        <w:ind w:hanging="720" w:start="2160" w:end="-360"/>
        <w:rPr>
          <w:sz w:val="20"/>
        </w:rPr>
      </w:pPr>
      <w:r>
        <w:rPr>
          <w:sz w:val="20"/>
        </w:rPr>
        <w:t>If the Fixed Forward Rate is equal to the Floating Settlement Rate, then neither party pays any monies.</w:t>
      </w:r>
    </w:p>
    <w:p>
      <w:pPr>
        <w:pStyle w:val="Normal"/>
        <w:ind w:start="2160" w:end="-360"/>
        <w:rPr>
          <w:sz w:val="20"/>
        </w:rPr>
      </w:pPr>
      <w:r>
        <w:rPr>
          <w:sz w:val="20"/>
        </w:rPr>
        <w:tab/>
      </w:r>
    </w:p>
    <w:p>
      <w:pPr>
        <w:pStyle w:val="Normal"/>
        <w:ind w:end="-360"/>
        <w:rPr>
          <w:sz w:val="20"/>
        </w:rPr>
      </w:pPr>
      <w:r>
        <w:rPr>
          <w:sz w:val="20"/>
        </w:rPr>
      </w:r>
    </w:p>
    <w:p>
      <w:pPr>
        <w:pStyle w:val="Normal"/>
        <w:ind w:end="-360"/>
        <w:rPr>
          <w:sz w:val="18"/>
        </w:rPr>
      </w:pPr>
      <w:r>
        <w:rPr>
          <w:sz w:val="18"/>
        </w:rPr>
        <w:fldChar w:fldCharType="begin"/>
      </w:r>
      <w:r>
        <w:rPr>
          <w:sz w:val="18"/>
        </w:rPr>
        <w:instrText xml:space="preserve"> FILENAME \p </w:instrText>
      </w:r>
      <w:r>
        <w:rPr>
          <w:sz w:val="18"/>
        </w:rPr>
        <w:fldChar w:fldCharType="separate"/>
      </w:r>
      <w:r>
        <w:rPr>
          <w:sz w:val="18"/>
        </w:rPr>
        <w:t>/mnt/main-storage/datasets/enron-docs/doc/EOLparforward.doc</w:t>
      </w:r>
      <w:r>
        <w:rPr>
          <w:sz w:val="18"/>
        </w:rPr>
        <w:fldChar w:fldCharType="end"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Roman"/>
      <w:lvlText w:val="%1)"/>
      <w:lvlJc w:val="start"/>
      <w:pPr>
        <w:tabs>
          <w:tab w:val="num" w:pos="2160"/>
        </w:tabs>
        <w:ind w:start="2160" w:hanging="720"/>
      </w:pPr>
      <w:rPr/>
    </w:lvl>
  </w:abstractNum>
  <w:abstractNum w:abstractNumId="2">
    <w:lvl w:ilvl="0">
      <w:start w:val="1"/>
      <w:numFmt w:val="lowerRoman"/>
      <w:lvlText w:val="%1)"/>
      <w:lvlJc w:val="start"/>
      <w:pPr>
        <w:tabs>
          <w:tab w:val="num" w:pos="2160"/>
        </w:tabs>
        <w:ind w:start="2160" w:hanging="72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ind w:firstLine="720" w:start="180" w:end="-360"/>
    </w:pPr>
    <w:rPr>
      <w:sz w:val="20"/>
    </w:rPr>
  </w:style>
  <w:style w:type="paragraph" w:styleId="BodyTextIndent">
    <w:name w:val="Body Text Indent"/>
    <w:basedOn w:val="Normal"/>
    <w:pPr>
      <w:ind w:hanging="0" w:start="720" w:end="0"/>
    </w:pPr>
    <w:rPr>
      <w:sz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2001-03-26T21:02:00Z</dcterms:created>
  <dc:creator>Preferred Customer</dc:creator>
  <dc:description/>
  <dc:language>en-CA</dc:language>
  <cp:lastModifiedBy>sshackl</cp:lastModifiedBy>
  <cp:lastPrinted>2001-03-26T11:06:00Z</cp:lastPrinted>
  <dcterms:modified xsi:type="dcterms:W3CDTF">2001-03-26T21:02:00Z</dcterms:modified>
  <cp:revision>2</cp:revision>
  <dc:subject/>
  <dc:title>2</dc:title>
</cp:coreProperties>
</file>