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October 2, 2001</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Patricia Guzman</w:t>
      </w:r>
    </w:p>
    <w:p>
      <w:pPr>
        <w:pStyle w:val="Normal"/>
        <w:rPr>
          <w:rFonts w:ascii="Arial" w:hAnsi="Arial" w:cs="Arial"/>
          <w:sz w:val="20"/>
        </w:rPr>
      </w:pPr>
      <w:r>
        <w:rPr>
          <w:rFonts w:cs="Arial" w:ascii="Arial" w:hAnsi="Arial"/>
          <w:sz w:val="20"/>
        </w:rPr>
        <w:t>Principal/Partner</w:t>
      </w:r>
    </w:p>
    <w:p>
      <w:pPr>
        <w:pStyle w:val="Normal"/>
        <w:rPr>
          <w:rFonts w:ascii="Arial" w:hAnsi="Arial" w:cs="Arial"/>
          <w:sz w:val="20"/>
        </w:rPr>
      </w:pPr>
      <w:r>
        <w:rPr>
          <w:rFonts w:cs="Arial" w:ascii="Arial" w:hAnsi="Arial"/>
          <w:sz w:val="20"/>
        </w:rPr>
        <w:t xml:space="preserve">PricewaterhouseCoopers LLP </w:t>
      </w:r>
    </w:p>
    <w:p>
      <w:pPr>
        <w:pStyle w:val="Normal"/>
        <w:rPr>
          <w:rFonts w:ascii="Arial" w:hAnsi="Arial" w:cs="Arial"/>
          <w:sz w:val="20"/>
        </w:rPr>
      </w:pPr>
      <w:r>
        <w:rPr>
          <w:rFonts w:cs="Arial" w:ascii="Arial" w:hAnsi="Arial"/>
          <w:sz w:val="20"/>
        </w:rPr>
        <w:t>1201 Louisiana, Suite 2900</w:t>
      </w:r>
    </w:p>
    <w:p>
      <w:pPr>
        <w:pStyle w:val="Normal"/>
        <w:rPr>
          <w:rFonts w:ascii="Arial" w:hAnsi="Arial" w:cs="Arial"/>
          <w:sz w:val="20"/>
        </w:rPr>
      </w:pPr>
      <w:r>
        <w:rPr>
          <w:rFonts w:cs="Arial" w:ascii="Arial" w:hAnsi="Arial"/>
          <w:sz w:val="20"/>
        </w:rPr>
        <w:t>Houston, Texas  77002-5678</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 xml:space="preserve">Re: </w:t>
        <w:tab/>
        <w:t>EnronOnline Private eMarketplace Sales Support</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 xml:space="preserve">The purpose of this letter is to document the terms under which PricewaterhouseCoopers LLP (“PwC”) will provide support to EnronOnline LLC (“EOL”) in a potential sale of a license to EnronOnline’s e-Solution (as outlined below). </w:t>
      </w:r>
    </w:p>
    <w:p>
      <w:pPr>
        <w:pStyle w:val="Normal"/>
        <w:rPr>
          <w:rFonts w:ascii="Arial" w:hAnsi="Arial" w:cs="Arial"/>
          <w:sz w:val="20"/>
        </w:rPr>
      </w:pPr>
      <w:r>
        <w:rPr>
          <w:rFonts w:cs="Arial" w:ascii="Arial" w:hAnsi="Arial"/>
          <w:sz w:val="20"/>
        </w:rPr>
      </w:r>
    </w:p>
    <w:p>
      <w:pPr>
        <w:pStyle w:val="Normal"/>
        <w:rPr>
          <w:rFonts w:ascii="Arial" w:hAnsi="Arial" w:cs="Arial"/>
          <w:b/>
          <w:sz w:val="20"/>
        </w:rPr>
      </w:pPr>
      <w:r>
        <w:rPr>
          <w:rFonts w:cs="Arial" w:ascii="Arial" w:hAnsi="Arial"/>
          <w:b/>
          <w:sz w:val="20"/>
        </w:rPr>
        <w:t>Background:</w:t>
      </w:r>
    </w:p>
    <w:p>
      <w:pPr>
        <w:pStyle w:val="Normal"/>
        <w:rPr>
          <w:rFonts w:ascii="Arial" w:hAnsi="Arial" w:cs="Arial"/>
          <w:b/>
          <w:sz w:val="20"/>
        </w:rPr>
      </w:pPr>
      <w:r>
        <w:rPr>
          <w:rFonts w:cs="Arial" w:ascii="Arial" w:hAnsi="Arial"/>
          <w:b/>
          <w:sz w:val="20"/>
        </w:rPr>
      </w:r>
    </w:p>
    <w:p>
      <w:pPr>
        <w:pStyle w:val="Normal"/>
        <w:rPr>
          <w:rFonts w:ascii="Arial" w:hAnsi="Arial" w:cs="Arial"/>
          <w:sz w:val="20"/>
        </w:rPr>
      </w:pPr>
      <w:r>
        <w:rPr>
          <w:rFonts w:cs="Arial" w:ascii="Arial" w:hAnsi="Arial"/>
          <w:sz w:val="20"/>
        </w:rPr>
        <w:t>EOL and its’ affiliates currently own and operate software for the EnronOnline e-marketplace. This e-Solution software will be offered to a certain identified company or entity (“Prospect”) in a fully hosted ASP offering environment or an object code offering environment. Modifications may be required in order to make the e-Solution suitable for a given buyer. The determination of the actual e-Solution to be sold to the Prospect will be based upon negotiations between EOL and the Prospect and will be structured in such a manner as to complement the commercial or other business needs of the Prospect.  It is agreed that EOL will be solely responsible for all negotiations associated with any transaction including final pricing and terms.</w:t>
      </w:r>
    </w:p>
    <w:p>
      <w:pPr>
        <w:pStyle w:val="Normal"/>
        <w:rPr>
          <w:rFonts w:ascii="Arial" w:hAnsi="Arial" w:cs="Arial"/>
          <w:sz w:val="20"/>
        </w:rPr>
      </w:pPr>
      <w:r>
        <w:rPr>
          <w:rFonts w:cs="Arial" w:ascii="Arial" w:hAnsi="Arial"/>
          <w:sz w:val="20"/>
        </w:rPr>
      </w:r>
    </w:p>
    <w:p>
      <w:pPr>
        <w:pStyle w:val="Normal"/>
        <w:rPr>
          <w:rFonts w:ascii="Arial" w:hAnsi="Arial" w:cs="Arial"/>
          <w:b/>
          <w:sz w:val="20"/>
        </w:rPr>
      </w:pPr>
      <w:r>
        <w:rPr>
          <w:rFonts w:cs="Arial" w:ascii="Arial" w:hAnsi="Arial"/>
          <w:b/>
          <w:sz w:val="20"/>
        </w:rPr>
        <w:t>PwC Support Effort:</w:t>
      </w:r>
    </w:p>
    <w:p>
      <w:pPr>
        <w:pStyle w:val="Normal"/>
        <w:rPr>
          <w:rFonts w:ascii="Arial" w:hAnsi="Arial" w:cs="Arial"/>
          <w:b/>
          <w:sz w:val="20"/>
        </w:rPr>
      </w:pPr>
      <w:r>
        <w:rPr>
          <w:rFonts w:cs="Arial" w:ascii="Arial" w:hAnsi="Arial"/>
          <w:b/>
          <w:sz w:val="20"/>
        </w:rPr>
      </w:r>
    </w:p>
    <w:p>
      <w:pPr>
        <w:pStyle w:val="Normal"/>
        <w:rPr>
          <w:rFonts w:ascii="Arial" w:hAnsi="Arial" w:cs="Arial"/>
          <w:sz w:val="20"/>
        </w:rPr>
      </w:pPr>
      <w:r>
        <w:rPr>
          <w:rFonts w:cs="Arial" w:ascii="Arial" w:hAnsi="Arial"/>
          <w:sz w:val="20"/>
        </w:rPr>
        <w:t>PwC will assist EOL in identifying the Prospect. PwC will use its knowledge and understanding of companies that would have an interest in developing a private e-marketplace and in identifying a candidate with legitimate interest in such a purchase. Once having identified a Prospect and submitted the Prospect’s name to EOL, EOL will confirm whether the Prospect is an acceptable candidate for the e-Solution and, if deemed acceptable, the name of and contact information for the Prospect will be inserted below:</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Prospect Name:</w:t>
        <w:tab/>
        <w:tab/>
        <w:t>Koch Industries</w:t>
      </w:r>
    </w:p>
    <w:p>
      <w:pPr>
        <w:pStyle w:val="Normal"/>
        <w:rPr>
          <w:rFonts w:ascii="Arial" w:hAnsi="Arial" w:cs="Arial"/>
          <w:sz w:val="20"/>
        </w:rPr>
      </w:pPr>
      <w:r>
        <w:rPr>
          <w:rFonts w:cs="Arial" w:ascii="Arial" w:hAnsi="Arial"/>
          <w:sz w:val="20"/>
        </w:rPr>
        <w:t>Prospect Address:</w:t>
        <w:tab/>
        <w:t>_________________________________</w:t>
      </w:r>
    </w:p>
    <w:p>
      <w:pPr>
        <w:pStyle w:val="Normal"/>
        <w:rPr>
          <w:rFonts w:ascii="Arial" w:hAnsi="Arial" w:cs="Arial"/>
          <w:sz w:val="20"/>
        </w:rPr>
      </w:pPr>
      <w:r>
        <w:rPr>
          <w:rFonts w:cs="Arial" w:ascii="Arial" w:hAnsi="Arial"/>
          <w:sz w:val="20"/>
        </w:rPr>
        <w:tab/>
        <w:tab/>
        <w:tab/>
        <w:t>_________________________________</w:t>
      </w:r>
    </w:p>
    <w:p>
      <w:pPr>
        <w:pStyle w:val="Normal"/>
        <w:rPr>
          <w:rFonts w:ascii="Arial" w:hAnsi="Arial" w:cs="Arial"/>
          <w:sz w:val="20"/>
        </w:rPr>
      </w:pPr>
      <w:r>
        <w:rPr>
          <w:rFonts w:cs="Arial" w:ascii="Arial" w:hAnsi="Arial"/>
          <w:sz w:val="20"/>
        </w:rPr>
        <w:t>Contact Name:</w:t>
        <w:tab/>
        <w:tab/>
        <w:t>_________________________________</w:t>
      </w:r>
    </w:p>
    <w:p>
      <w:pPr>
        <w:pStyle w:val="Normal"/>
        <w:rPr>
          <w:rFonts w:ascii="Arial" w:hAnsi="Arial" w:cs="Arial"/>
          <w:sz w:val="20"/>
        </w:rPr>
      </w:pPr>
      <w:r>
        <w:rPr>
          <w:rFonts w:cs="Arial" w:ascii="Arial" w:hAnsi="Arial"/>
          <w:sz w:val="20"/>
        </w:rPr>
        <w:t>Contact Phone:</w:t>
        <w:tab/>
        <w:tab/>
        <w:t>_________________________________</w:t>
      </w:r>
    </w:p>
    <w:p>
      <w:pPr>
        <w:pStyle w:val="Normal"/>
        <w:rPr>
          <w:rFonts w:ascii="Arial" w:hAnsi="Arial" w:cs="Arial"/>
          <w:sz w:val="20"/>
        </w:rPr>
      </w:pPr>
      <w:r>
        <w:rPr>
          <w:rFonts w:cs="Arial" w:ascii="Arial" w:hAnsi="Arial"/>
          <w:sz w:val="20"/>
        </w:rPr>
        <w:t>Contact Fax:</w:t>
        <w:tab/>
        <w:tab/>
        <w:t>_________________________________</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In addition to identifying a Prospect, PwC will assist EOL in its preparation for the e-Solution presentation process. This will include collaborating on presentation materials for the product offering, competitive positioning, identifying Prospect specific issues, and supporting the sales-cycle management.</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Finally, PwC will arrange at a minimum the initial meeting(s) with the Prospect and EOL.</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No other prospect other than the identified Prospect or potential opportunity is intended to be subject to the terms of this letter agreement unless otherwise agreed in writing by PwC and EOL. Any additional prospects that PwC would like to present to EOL for acceptance as a possible candidate for the purchase of the e-Solution will be submitted to and approved by Mr. Michael Bridges of EOL.</w:t>
      </w:r>
    </w:p>
    <w:p>
      <w:pPr>
        <w:pStyle w:val="Normal"/>
        <w:rPr>
          <w:rFonts w:ascii="Arial" w:hAnsi="Arial" w:cs="Arial"/>
          <w:sz w:val="20"/>
        </w:rPr>
      </w:pPr>
      <w:r>
        <w:rPr>
          <w:rFonts w:cs="Arial" w:ascii="Arial" w:hAnsi="Arial"/>
          <w:sz w:val="20"/>
        </w:rPr>
      </w:r>
    </w:p>
    <w:p>
      <w:pPr>
        <w:pStyle w:val="Normal"/>
        <w:rPr>
          <w:rFonts w:ascii="Arial" w:hAnsi="Arial" w:cs="Arial"/>
          <w:b/>
          <w:sz w:val="20"/>
        </w:rPr>
      </w:pPr>
      <w:r>
        <w:rPr>
          <w:rFonts w:cs="Arial" w:ascii="Arial" w:hAnsi="Arial"/>
          <w:b/>
          <w:sz w:val="20"/>
        </w:rPr>
        <w:t>EOL Obligations:</w:t>
      </w:r>
    </w:p>
    <w:p>
      <w:pPr>
        <w:pStyle w:val="Normal"/>
        <w:rPr>
          <w:rFonts w:ascii="Arial" w:hAnsi="Arial" w:cs="Arial"/>
          <w:b/>
          <w:sz w:val="20"/>
        </w:rPr>
      </w:pPr>
      <w:r>
        <w:rPr>
          <w:rFonts w:cs="Arial" w:ascii="Arial" w:hAnsi="Arial"/>
          <w:b/>
          <w:sz w:val="20"/>
        </w:rPr>
      </w:r>
    </w:p>
    <w:p>
      <w:pPr>
        <w:pStyle w:val="Normal"/>
        <w:rPr>
          <w:rFonts w:ascii="Arial" w:hAnsi="Arial" w:cs="Arial"/>
          <w:sz w:val="20"/>
        </w:rPr>
      </w:pPr>
      <w:r>
        <w:rPr>
          <w:rFonts w:cs="Arial" w:ascii="Arial" w:hAnsi="Arial"/>
          <w:sz w:val="20"/>
        </w:rPr>
        <w:t xml:space="preserve">In the event that EOL completes a transaction involving the e-Solution with the Prospect, EOL agrees that it will use reasonable efforts to present PwC as the preferred provider of systems integration services for the e-Solution at the Prospect’s site; however, EOL shall not be required to obligate the Prospect to use PwC services. </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 xml:space="preserve">If EOL determines that it will hire outside resources to supplement its efforts internally with respect to supporting the e Solution for the Prospect, then EOL will give consideration to PwC in support of those needs; however, there shall be no requirement that EOL use PwC for additional support in such efforts. </w:t>
      </w:r>
    </w:p>
    <w:p>
      <w:pPr>
        <w:pStyle w:val="Normal"/>
        <w:rPr>
          <w:rFonts w:ascii="Arial" w:hAnsi="Arial" w:cs="Arial"/>
          <w:sz w:val="20"/>
        </w:rPr>
      </w:pPr>
      <w:r>
        <w:rPr>
          <w:rFonts w:cs="Arial" w:ascii="Arial" w:hAnsi="Arial"/>
          <w:sz w:val="20"/>
        </w:rPr>
      </w:r>
    </w:p>
    <w:p>
      <w:pPr>
        <w:pStyle w:val="Normal"/>
        <w:rPr>
          <w:rFonts w:ascii="Arial" w:hAnsi="Arial" w:cs="Arial"/>
          <w:b/>
          <w:sz w:val="20"/>
        </w:rPr>
      </w:pPr>
      <w:r>
        <w:rPr>
          <w:rFonts w:cs="Arial" w:ascii="Arial" w:hAnsi="Arial"/>
          <w:b/>
          <w:sz w:val="20"/>
        </w:rPr>
        <w:t>Term/Termination:</w:t>
      </w:r>
    </w:p>
    <w:p>
      <w:pPr>
        <w:pStyle w:val="Normal"/>
        <w:rPr>
          <w:rFonts w:ascii="Arial" w:hAnsi="Arial" w:cs="Arial"/>
          <w:b/>
          <w:sz w:val="20"/>
        </w:rPr>
      </w:pPr>
      <w:r>
        <w:rPr>
          <w:rFonts w:cs="Arial" w:ascii="Arial" w:hAnsi="Arial"/>
          <w:b/>
          <w:sz w:val="20"/>
        </w:rPr>
      </w:r>
    </w:p>
    <w:p>
      <w:pPr>
        <w:pStyle w:val="Normal"/>
        <w:rPr>
          <w:rFonts w:ascii="Arial" w:hAnsi="Arial" w:cs="Arial"/>
          <w:sz w:val="20"/>
        </w:rPr>
      </w:pPr>
      <w:r>
        <w:rPr>
          <w:rFonts w:cs="Arial" w:ascii="Arial" w:hAnsi="Arial"/>
          <w:sz w:val="20"/>
        </w:rPr>
        <w:t>This letter shall be effective from the date signed until October 31, 2001. After this date, neither PwC or EOL will have further obligations to each other under this letter, save for each party’s obligations of confidentiality hereunder.   NOTWITHSTANDING ANYTHING TO THE CONTRARY CONTAINED IN THIS LETTER AGREEMENT, NEITHER PWC NOR EOL SHALL, UNDER ANY CIRCUMSTANCES, BE LIABLE TO EACH OTHER FOR ANY CONSEQUENTIAL, INCIDENTAL, INDIRECT, PUNITIVE, EXEMPLARY OR SPECIAL DAMAGES OF ANY NATURE WHATSOEVER.</w:t>
      </w:r>
    </w:p>
    <w:p>
      <w:pPr>
        <w:pStyle w:val="Normal"/>
        <w:rPr>
          <w:rFonts w:ascii="Arial" w:hAnsi="Arial" w:cs="Arial"/>
          <w:sz w:val="20"/>
        </w:rPr>
      </w:pPr>
      <w:r>
        <w:rPr>
          <w:rFonts w:cs="Arial" w:ascii="Arial" w:hAnsi="Arial"/>
          <w:sz w:val="20"/>
        </w:rPr>
      </w:r>
    </w:p>
    <w:p>
      <w:pPr>
        <w:pStyle w:val="Normal"/>
        <w:rPr>
          <w:rFonts w:ascii="Arial" w:hAnsi="Arial" w:cs="Arial"/>
          <w:b/>
          <w:sz w:val="20"/>
        </w:rPr>
      </w:pPr>
      <w:r>
        <w:rPr>
          <w:rFonts w:cs="Arial" w:ascii="Arial" w:hAnsi="Arial"/>
          <w:b/>
          <w:sz w:val="20"/>
        </w:rPr>
        <w:t>Confidentiality:</w:t>
      </w:r>
    </w:p>
    <w:p>
      <w:pPr>
        <w:pStyle w:val="Normal"/>
        <w:rPr>
          <w:rFonts w:ascii="Arial" w:hAnsi="Arial" w:cs="Arial"/>
          <w:b/>
          <w:sz w:val="20"/>
        </w:rPr>
      </w:pPr>
      <w:r>
        <w:rPr>
          <w:rFonts w:cs="Arial" w:ascii="Arial" w:hAnsi="Arial"/>
          <w:b/>
          <w:sz w:val="20"/>
        </w:rPr>
      </w:r>
    </w:p>
    <w:p>
      <w:pPr>
        <w:pStyle w:val="Normal"/>
        <w:rPr>
          <w:rFonts w:ascii="Arial" w:hAnsi="Arial" w:cs="Arial"/>
          <w:sz w:val="20"/>
        </w:rPr>
      </w:pPr>
      <w:r>
        <w:rPr>
          <w:rFonts w:cs="Arial" w:ascii="Arial" w:hAnsi="Arial"/>
          <w:sz w:val="20"/>
        </w:rPr>
        <w:t xml:space="preserve">The agreement between EOL and PwC, together with any information exchanged between EOL and PwC in relation to the Prospect and a transaction involving the e-Solution, shall be deemed to be “Confidential Information” of the disclosing party and will be governed by the terms of that certain Non-Disclosure Agreement entered into between EOL and PwC on August 22, 2001,the terms and conditions of which are hereby incorporated into this letter of agreement. </w:t>
      </w:r>
    </w:p>
    <w:p>
      <w:pPr>
        <w:pStyle w:val="Normal"/>
        <w:rPr>
          <w:rFonts w:ascii="Arial" w:hAnsi="Arial" w:cs="Arial"/>
          <w:sz w:val="20"/>
        </w:rPr>
      </w:pPr>
      <w:r>
        <w:rPr>
          <w:rFonts w:cs="Arial" w:ascii="Arial" w:hAnsi="Arial"/>
          <w:sz w:val="20"/>
        </w:rPr>
      </w:r>
    </w:p>
    <w:p>
      <w:pPr>
        <w:pStyle w:val="Normal"/>
        <w:rPr>
          <w:rFonts w:ascii="Arial" w:hAnsi="Arial" w:cs="Arial"/>
          <w:b/>
          <w:sz w:val="20"/>
        </w:rPr>
      </w:pPr>
      <w:r>
        <w:rPr>
          <w:rFonts w:cs="Arial" w:ascii="Arial" w:hAnsi="Arial"/>
          <w:b/>
          <w:sz w:val="20"/>
        </w:rPr>
        <w:t>Assignment:</w:t>
      </w:r>
    </w:p>
    <w:p>
      <w:pPr>
        <w:pStyle w:val="Normal"/>
        <w:rPr>
          <w:rFonts w:ascii="Arial" w:hAnsi="Arial" w:cs="Arial"/>
          <w:b/>
          <w:sz w:val="20"/>
        </w:rPr>
      </w:pPr>
      <w:r>
        <w:rPr>
          <w:rFonts w:cs="Arial" w:ascii="Arial" w:hAnsi="Arial"/>
          <w:b/>
          <w:sz w:val="20"/>
        </w:rPr>
      </w:r>
    </w:p>
    <w:p>
      <w:pPr>
        <w:pStyle w:val="Normal"/>
        <w:rPr>
          <w:rFonts w:ascii="Arial" w:hAnsi="Arial" w:cs="Arial"/>
          <w:sz w:val="20"/>
        </w:rPr>
      </w:pPr>
      <w:r>
        <w:rPr>
          <w:rFonts w:cs="Arial" w:ascii="Arial" w:hAnsi="Arial"/>
          <w:sz w:val="20"/>
        </w:rPr>
        <w:t>PwC acknowledges that EOL has agreed to work with PwC based upon its ability to assist with a possible transaction involving the e-Solution and the Prospect.  Accordingly, PwC may not assign or transfer its rights and obligations hereunder to any third party (including any affiliate or subsidiary of PwC), without the express written consent of EOL.</w:t>
      </w:r>
    </w:p>
    <w:p>
      <w:pPr>
        <w:pStyle w:val="Normal"/>
        <w:rPr>
          <w:rFonts w:ascii="Arial" w:hAnsi="Arial" w:cs="Arial"/>
          <w:sz w:val="20"/>
        </w:rPr>
      </w:pPr>
      <w:r>
        <w:rPr>
          <w:rFonts w:cs="Arial" w:ascii="Arial" w:hAnsi="Arial"/>
          <w:sz w:val="20"/>
        </w:rPr>
      </w:r>
    </w:p>
    <w:p>
      <w:pPr>
        <w:pStyle w:val="Heading3"/>
        <w:ind w:hanging="0" w:start="0"/>
        <w:rPr/>
      </w:pPr>
      <w:r>
        <w:rPr/>
        <w:t>Independent Contractor</w:t>
      </w:r>
    </w:p>
    <w:p>
      <w:pPr>
        <w:pStyle w:val="Normal"/>
        <w:jc w:val="both"/>
        <w:rPr>
          <w:rFonts w:ascii="Arial" w:hAnsi="Arial" w:cs="Arial"/>
          <w:sz w:val="20"/>
        </w:rPr>
      </w:pPr>
      <w:r>
        <w:rPr>
          <w:rFonts w:cs="Arial" w:ascii="Arial" w:hAnsi="Arial"/>
          <w:sz w:val="20"/>
        </w:rPr>
        <w:t>Throughout the term of this agreement, each party shall be an independent contractor and shall have no authority to act on behalf of the other party in any formal capacity nor to bind the other party to any agreements with other parties.  The relationship between EOL and PwC under this agreement shall not be deemed or construed as creating a joint venture, partnership or agency relationship between EOL and PwC for any purposes.</w:t>
      </w:r>
    </w:p>
    <w:p>
      <w:pPr>
        <w:pStyle w:val="Normal"/>
        <w:jc w:val="both"/>
        <w:rPr>
          <w:rFonts w:ascii="Arial" w:hAnsi="Arial" w:cs="Arial"/>
          <w:sz w:val="20"/>
        </w:rPr>
      </w:pPr>
      <w:r>
        <w:rPr>
          <w:rFonts w:cs="Arial" w:ascii="Arial" w:hAnsi="Arial"/>
          <w:sz w:val="20"/>
        </w:rPr>
      </w:r>
    </w:p>
    <w:p>
      <w:pPr>
        <w:pStyle w:val="Heading3"/>
        <w:ind w:hanging="0" w:start="0"/>
        <w:rPr/>
      </w:pPr>
      <w:r>
        <w:rPr/>
        <w:t>Governing Law</w:t>
      </w:r>
    </w:p>
    <w:p>
      <w:pPr>
        <w:pStyle w:val="Normal"/>
        <w:jc w:val="both"/>
        <w:rPr>
          <w:rFonts w:ascii="Arial" w:hAnsi="Arial" w:cs="Arial"/>
          <w:sz w:val="20"/>
        </w:rPr>
      </w:pPr>
      <w:r>
        <w:rPr>
          <w:rFonts w:cs="Arial" w:ascii="Arial" w:hAnsi="Arial"/>
          <w:sz w:val="20"/>
        </w:rPr>
        <w:t>The terms and conditions set forth herein shall be governed by and interpreted in accordance with the laws of the State of Texas, without regard to any conflict of law principals.</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r>
        <w:br w:type="page"/>
      </w:r>
    </w:p>
    <w:p>
      <w:pPr>
        <w:pStyle w:val="Normal"/>
        <w:rPr>
          <w:rFonts w:ascii="Arial" w:hAnsi="Arial" w:cs="Arial"/>
          <w:b/>
          <w:sz w:val="20"/>
        </w:rPr>
      </w:pPr>
      <w:r>
        <w:rPr>
          <w:rFonts w:cs="Arial" w:ascii="Arial" w:hAnsi="Arial"/>
          <w:b/>
          <w:sz w:val="20"/>
        </w:rPr>
        <w:t>Acceptance of Proposal:</w:t>
      </w:r>
    </w:p>
    <w:p>
      <w:pPr>
        <w:pStyle w:val="Normal"/>
        <w:rPr>
          <w:rFonts w:ascii="Arial" w:hAnsi="Arial" w:cs="Arial"/>
          <w:b/>
          <w:sz w:val="20"/>
        </w:rPr>
      </w:pPr>
      <w:r>
        <w:rPr>
          <w:rFonts w:cs="Arial" w:ascii="Arial" w:hAnsi="Arial"/>
          <w:b/>
          <w:sz w:val="20"/>
        </w:rPr>
      </w:r>
    </w:p>
    <w:p>
      <w:pPr>
        <w:pStyle w:val="Normal"/>
        <w:rPr>
          <w:rFonts w:ascii="Arial" w:hAnsi="Arial" w:cs="Arial"/>
          <w:sz w:val="20"/>
        </w:rPr>
      </w:pPr>
      <w:r>
        <w:rPr>
          <w:rFonts w:cs="Arial" w:ascii="Arial" w:hAnsi="Arial"/>
          <w:sz w:val="20"/>
        </w:rPr>
        <w:t>If PwC is in agreement with the provisions of this letter, please have an authorized officer sign an original of this proposal where indicated below and deliver the signed proposal to the attention of Mr. Michael Bridges, EnronOnline LLC, 1400 Smith Street, Houston, Texas 77002.</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Thank you for your interest in assisting EOL in the pursuit of the sale of its e-Solution.</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 xml:space="preserve">Sincerely, </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________________________</w:t>
      </w:r>
    </w:p>
    <w:p>
      <w:pPr>
        <w:pStyle w:val="Normal"/>
        <w:rPr>
          <w:rFonts w:ascii="Arial" w:hAnsi="Arial" w:cs="Arial"/>
          <w:sz w:val="20"/>
        </w:rPr>
      </w:pPr>
      <w:r>
        <w:rPr>
          <w:rFonts w:cs="Arial" w:ascii="Arial" w:hAnsi="Arial"/>
          <w:sz w:val="20"/>
        </w:rPr>
        <w:t>Vice President</w:t>
      </w:r>
    </w:p>
    <w:p>
      <w:pPr>
        <w:pStyle w:val="Normal"/>
        <w:rPr>
          <w:rFonts w:ascii="Arial" w:hAnsi="Arial" w:cs="Arial"/>
          <w:sz w:val="20"/>
        </w:rPr>
      </w:pPr>
      <w:r>
        <w:rPr>
          <w:rFonts w:cs="Arial" w:ascii="Arial" w:hAnsi="Arial"/>
          <w:sz w:val="20"/>
        </w:rPr>
        <w:t>EnronOnline LLC</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ACKNOWLEDGED AND AGREED TO</w:t>
      </w:r>
    </w:p>
    <w:p>
      <w:pPr>
        <w:pStyle w:val="Normal"/>
        <w:rPr>
          <w:rFonts w:ascii="Arial" w:hAnsi="Arial" w:cs="Arial"/>
          <w:sz w:val="20"/>
        </w:rPr>
      </w:pPr>
      <w:r>
        <w:rPr>
          <w:rFonts w:cs="Arial" w:ascii="Arial" w:hAnsi="Arial"/>
          <w:sz w:val="20"/>
        </w:rPr>
        <w:t>ON THE 2nd DAY OF OCTOBER, 2001:</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PricewaterhouseCoopers LLP</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_________________________________________</w:t>
      </w:r>
    </w:p>
    <w:p>
      <w:pPr>
        <w:pStyle w:val="Normal"/>
        <w:rPr>
          <w:rFonts w:ascii="Arial" w:hAnsi="Arial" w:cs="Arial"/>
          <w:color w:val="000000"/>
          <w:sz w:val="20"/>
        </w:rPr>
      </w:pPr>
      <w:r>
        <w:rPr>
          <w:rFonts w:eastAsia="Arial" w:cs="Arial" w:ascii="Arial" w:hAnsi="Arial"/>
          <w:color w:val="000000"/>
          <w:sz w:val="20"/>
        </w:rPr>
        <w:t xml:space="preserve"> </w:t>
      </w:r>
      <w:r>
        <w:rPr>
          <w:rFonts w:cs="Arial" w:ascii="Arial" w:hAnsi="Arial"/>
          <w:color w:val="000000"/>
          <w:sz w:val="20"/>
        </w:rPr>
        <w:t xml:space="preserve">By </w:t>
      </w:r>
    </w:p>
    <w:p>
      <w:pPr>
        <w:pStyle w:val="Normal"/>
        <w:rPr>
          <w:rFonts w:ascii="Arial" w:hAnsi="Arial" w:cs="Arial"/>
          <w:color w:val="000000"/>
          <w:sz w:val="20"/>
        </w:rPr>
      </w:pPr>
      <w:r>
        <w:rPr>
          <w:rFonts w:cs="Arial" w:ascii="Arial" w:hAnsi="Arial"/>
          <w:color w:val="000000"/>
          <w:sz w:val="20"/>
        </w:rPr>
        <w:t>Patricia Guzman</w:t>
      </w:r>
    </w:p>
    <w:p>
      <w:pPr>
        <w:pStyle w:val="Header"/>
        <w:tabs>
          <w:tab w:val="clear" w:pos="4320"/>
          <w:tab w:val="clear" w:pos="8640"/>
        </w:tabs>
        <w:rPr>
          <w:rFonts w:ascii="Arial" w:hAnsi="Arial" w:cs="Arial"/>
          <w:color w:val="000000"/>
        </w:rPr>
      </w:pPr>
      <w:r>
        <w:rPr>
          <w:rFonts w:cs="Arial" w:ascii="Arial" w:hAnsi="Arial"/>
          <w:color w:val="000000"/>
        </w:rPr>
        <w:t>Principal/Partner</w:t>
      </w:r>
    </w:p>
    <w:sectPr>
      <w:headerReference w:type="default" r:id="rId2"/>
      <w:footerReference w:type="default" r:id="rId3"/>
      <w:type w:val="nextPage"/>
      <w:pgSz w:w="12240" w:h="15840"/>
      <w:pgMar w:left="1800" w:right="1620" w:gutter="0" w:header="0" w:top="2004" w:footer="1060" w:bottom="111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i/>
        <w:i/>
      </w:rPr>
    </w:pPr>
    <w:r>
      <w:rPr>
        <w:i/>
      </w:rPr>
      <w:t>Proprietary and Confidential</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start="-1800" w:end="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both"/>
      <w:outlineLvl w:val="0"/>
    </w:pPr>
    <w:rPr>
      <w:b/>
      <w:bCs/>
    </w:rPr>
  </w:style>
  <w:style w:type="paragraph" w:styleId="Heading2">
    <w:name w:val="heading 2"/>
    <w:basedOn w:val="Normal"/>
    <w:next w:val="Normal"/>
    <w:qFormat/>
    <w:pPr>
      <w:keepNext w:val="true"/>
      <w:numPr>
        <w:ilvl w:val="1"/>
        <w:numId w:val="1"/>
      </w:numPr>
      <w:jc w:val="both"/>
      <w:outlineLvl w:val="1"/>
    </w:pPr>
    <w:rPr>
      <w:b/>
      <w:bCs/>
      <w:u w:val="single"/>
    </w:rPr>
  </w:style>
  <w:style w:type="paragraph" w:styleId="Heading3">
    <w:name w:val="heading 3"/>
    <w:basedOn w:val="Normal"/>
    <w:next w:val="Normal"/>
    <w:qFormat/>
    <w:pPr>
      <w:keepNext w:val="true"/>
      <w:numPr>
        <w:ilvl w:val="2"/>
        <w:numId w:val="1"/>
      </w:numPr>
      <w:jc w:val="both"/>
      <w:outlineLvl w:val="2"/>
    </w:pPr>
    <w:rPr>
      <w:rFonts w:ascii="Arial" w:hAnsi="Arial" w:cs="Arial"/>
      <w:b/>
      <w:bCs/>
      <w:sz w:val="20"/>
      <w:u w:val="single"/>
    </w:rPr>
  </w:style>
  <w:style w:type="paragraph" w:styleId="Heading4">
    <w:name w:val="heading 4"/>
    <w:basedOn w:val="Normal"/>
    <w:next w:val="BodyText"/>
    <w:qFormat/>
    <w:pPr>
      <w:numPr>
        <w:ilvl w:val="3"/>
        <w:numId w:val="1"/>
      </w:numPr>
      <w:spacing w:lineRule="atLeast" w:line="290"/>
      <w:outlineLvl w:val="3"/>
    </w:pPr>
    <w:rPr/>
  </w:style>
  <w:style w:type="paragraph" w:styleId="Heading5">
    <w:name w:val="heading 5"/>
    <w:basedOn w:val="Normal"/>
    <w:next w:val="BodyText"/>
    <w:qFormat/>
    <w:pPr>
      <w:numPr>
        <w:ilvl w:val="4"/>
        <w:numId w:val="1"/>
      </w:numPr>
      <w:tabs>
        <w:tab w:val="clear" w:pos="720"/>
        <w:tab w:val="left" w:pos="2160" w:leader="none"/>
      </w:tabs>
      <w:spacing w:lineRule="atLeast" w:line="290"/>
      <w:outlineLvl w:val="4"/>
    </w:pPr>
    <w:rPr/>
  </w:style>
  <w:style w:type="paragraph" w:styleId="Heading6">
    <w:name w:val="heading 6"/>
    <w:basedOn w:val="Normal"/>
    <w:next w:val="BodyText"/>
    <w:qFormat/>
    <w:pPr>
      <w:numPr>
        <w:ilvl w:val="5"/>
        <w:numId w:val="1"/>
      </w:numPr>
      <w:spacing w:lineRule="atLeast" w:line="290"/>
      <w:outlineLvl w:val="5"/>
    </w:pPr>
    <w:rPr/>
  </w:style>
  <w:style w:type="paragraph" w:styleId="Heading7">
    <w:name w:val="heading 7"/>
    <w:basedOn w:val="Normal"/>
    <w:next w:val="Normal"/>
    <w:qFormat/>
    <w:pPr>
      <w:numPr>
        <w:ilvl w:val="6"/>
        <w:numId w:val="1"/>
      </w:numPr>
      <w:spacing w:lineRule="atLeast" w:line="290"/>
      <w:outlineLvl w:val="6"/>
    </w:pPr>
    <w:rPr/>
  </w:style>
  <w:style w:type="paragraph" w:styleId="Heading8">
    <w:name w:val="heading 8"/>
    <w:basedOn w:val="Normal"/>
    <w:next w:val="Normal"/>
    <w:qFormat/>
    <w:pPr>
      <w:numPr>
        <w:ilvl w:val="7"/>
        <w:numId w:val="1"/>
      </w:numPr>
      <w:spacing w:lineRule="atLeast" w:line="290"/>
      <w:outlineLvl w:val="7"/>
    </w:pPr>
    <w:rPr/>
  </w:style>
  <w:style w:type="paragraph" w:styleId="Heading9">
    <w:name w:val="heading 9"/>
    <w:basedOn w:val="Normal"/>
    <w:next w:val="Normal"/>
    <w:qFormat/>
    <w:pPr>
      <w:numPr>
        <w:ilvl w:val="8"/>
        <w:numId w:val="1"/>
      </w:numPr>
      <w:spacing w:lineRule="atLeast" w:line="290"/>
      <w:outlineLvl w:val="8"/>
    </w:pPr>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0"/>
      <w:szCs w:val="20"/>
    </w:rPr>
  </w:style>
  <w:style w:type="paragraph" w:styleId="Footer">
    <w:name w:val="footer"/>
    <w:basedOn w:val="Normal"/>
    <w:pPr>
      <w:tabs>
        <w:tab w:val="clear" w:pos="720"/>
        <w:tab w:val="center" w:pos="4320" w:leader="none"/>
        <w:tab w:val="right" w:pos="8640" w:leader="none"/>
      </w:tabs>
    </w:pPr>
    <w:rPr>
      <w:sz w:val="20"/>
      <w:szCs w:val="20"/>
    </w:rPr>
  </w:style>
  <w:style w:type="paragraph" w:styleId="BodyText2">
    <w:name w:val="Body Text 2"/>
    <w:basedOn w:val="Normal"/>
    <w:qFormat/>
    <w:pPr>
      <w:spacing w:lineRule="atLeast" w:line="240"/>
    </w:pPr>
    <w:rPr>
      <w:rFonts w:ascii="Arial" w:hAnsi="Arial" w:cs="Arial"/>
      <w:color w:val="000000"/>
      <w:sz w:val="20"/>
      <w:szCs w:val="20"/>
    </w:rPr>
  </w:style>
  <w:style w:type="paragraph" w:styleId="1BulletList">
    <w:name w:val="1Bullet List"/>
    <w:qFormat/>
    <w:pPr>
      <w:widowControl/>
      <w:tabs>
        <w:tab w:val="left" w:pos="720" w:leader="none"/>
      </w:tabs>
      <w:autoSpaceDE w:val="false"/>
      <w:bidi w:val="0"/>
      <w:ind w:hanging="720" w:start="720" w:end="0"/>
    </w:pPr>
    <w:rPr>
      <w:rFonts w:ascii="Times New Roman" w:hAnsi="Times New Roman" w:eastAsia="Times New Roman" w:cs="Times New Roman"/>
      <w:color w:val="auto"/>
      <w:sz w:val="20"/>
      <w:szCs w:val="20"/>
      <w:lang w:val="en-US" w:bidi="ar-SA" w:eastAsia="zh-CN"/>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2001-10-02T17:07:00Z</dcterms:created>
  <dc:creator>Ross Mesquita</dc:creator>
  <dc:description/>
  <dc:language>en-CA</dc:language>
  <cp:lastModifiedBy>Pat Guzman</cp:lastModifiedBy>
  <cp:lastPrinted>2001-09-25T08:18:00Z</cp:lastPrinted>
  <dcterms:modified xsi:type="dcterms:W3CDTF">2001-10-02T17:07:00Z</dcterms:modified>
  <cp:revision>2</cp:revision>
  <dc:subject/>
  <dc:title>August 9, 2001</dc:title>
</cp:coreProperties>
</file>