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sz w:val="32"/>
        </w:rPr>
        <w:t>FYI</w:t>
      </w:r>
      <w:r>
        <w:rPr/>
        <w:t>:    EOL /NNG/CMS Transactions</w:t>
        <w:tab/>
        <w:tab/>
        <w:tab/>
        <w:tab/>
        <w:tab/>
        <w:tab/>
        <w:t>10 May 01</w:t>
      </w:r>
    </w:p>
    <w:p>
      <w:pPr>
        <w:pStyle w:val="Normal"/>
        <w:rPr/>
      </w:pPr>
      <w:r>
        <w:rPr/>
      </w:r>
    </w:p>
    <w:p>
      <w:pPr>
        <w:pStyle w:val="Normal"/>
        <w:rPr/>
      </w:pPr>
      <w:r>
        <w:rPr/>
      </w:r>
    </w:p>
    <w:p>
      <w:pPr>
        <w:pStyle w:val="Normal"/>
        <w:rPr/>
      </w:pPr>
      <w:r>
        <w:rPr/>
        <w:t>Product Descriptions (Names)</w:t>
      </w:r>
    </w:p>
    <w:p>
      <w:pPr>
        <w:pStyle w:val="Normal"/>
        <w:rPr/>
      </w:pPr>
      <w:r>
        <w:rPr/>
      </w:r>
    </w:p>
    <w:p>
      <w:pPr>
        <w:pStyle w:val="Normal"/>
        <w:rPr/>
      </w:pPr>
      <w:r>
        <w:rPr/>
        <w:t>Here’s the rationale behind the format and how it will work within CMS (the NNG contract system)…</w:t>
      </w:r>
    </w:p>
    <w:p>
      <w:pPr>
        <w:pStyle w:val="Normal"/>
        <w:rPr/>
      </w:pPr>
      <w:r>
        <w:rPr/>
      </w:r>
    </w:p>
    <w:p>
      <w:pPr>
        <w:pStyle w:val="Normal"/>
        <w:rPr/>
      </w:pPr>
      <w:r>
        <w:rPr/>
        <w:t>US PLCapNNG Frm       is used to indicate “sustainable firm” Products.</w:t>
      </w:r>
    </w:p>
    <w:p>
      <w:pPr>
        <w:pStyle w:val="Normal"/>
        <w:rPr/>
      </w:pPr>
      <w:r>
        <w:rPr/>
      </w:r>
    </w:p>
    <w:p>
      <w:pPr>
        <w:pStyle w:val="Normal"/>
        <w:rPr/>
      </w:pPr>
      <w:r>
        <w:rPr/>
        <w:t>US PLCapNNG Dly       indicates “day to day firm” Products.</w:t>
      </w:r>
    </w:p>
    <w:p>
      <w:pPr>
        <w:pStyle w:val="Normal"/>
        <w:rPr/>
      </w:pPr>
      <w:r>
        <w:rPr/>
      </w:r>
    </w:p>
    <w:p>
      <w:pPr>
        <w:pStyle w:val="Normal"/>
        <w:rPr/>
      </w:pPr>
      <w:r>
        <w:rPr/>
        <w:t>Demarc29-Beloit R+C    is an example of a Product’s “short description.”</w:t>
      </w:r>
    </w:p>
    <w:p>
      <w:pPr>
        <w:pStyle w:val="Normal"/>
        <w:rPr/>
      </w:pPr>
      <w:r>
        <w:rPr/>
      </w:r>
    </w:p>
    <w:p>
      <w:pPr>
        <w:pStyle w:val="Normal"/>
        <w:ind w:firstLine="720" w:start="720" w:end="0"/>
        <w:rPr/>
      </w:pPr>
      <w:r>
        <mc:AlternateContent>
          <mc:Choice Requires="wps">
            <w:drawing>
              <wp:anchor behindDoc="0" distT="0" distB="0" distL="114935" distR="114935" simplePos="0" locked="0" layoutInCell="1" allowOverlap="1" relativeHeight="2">
                <wp:simplePos x="0" y="0"/>
                <wp:positionH relativeFrom="column">
                  <wp:posOffset>800100</wp:posOffset>
                </wp:positionH>
                <wp:positionV relativeFrom="paragraph">
                  <wp:posOffset>185420</wp:posOffset>
                </wp:positionV>
                <wp:extent cx="342900" cy="571500"/>
                <wp:effectExtent l="0" t="2540" r="4445" b="635"/>
                <wp:wrapNone/>
                <wp:docPr id="1" name=""/>
                <a:graphic xmlns:a="http://schemas.openxmlformats.org/drawingml/2006/main">
                  <a:graphicData uri="http://schemas.microsoft.com/office/word/2010/wordprocessingShape">
                    <wps:wsp>
                      <wps:cNvSpPr/>
                      <wps:spPr>
                        <a:xfrm flipH="1">
                          <a:off x="0" y="0"/>
                          <a:ext cx="343080" cy="57168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63pt,14.6pt" to="89.95pt,59.55pt" stroked="t" o:allowincell="f" style="position:absolute;flip:x">
                <v:stroke color="black" weight="9360" endarrow="block" endarrowwidth="medium" endarrowlength="medium" joinstyle="miter" endcap="flat"/>
                <v:fill o:detectmouseclick="t" on="false"/>
                <w10:wrap type="none"/>
              </v:line>
            </w:pict>
          </mc:Fallback>
        </mc:AlternateContent>
      </w:r>
      <w:r>
        <w:rPr/>
        <w:t>Demarc      29         Beloit     R+C</w:t>
        <w:tab/>
        <w:t xml:space="preserve"> </w:t>
      </w:r>
    </w:p>
    <w:p>
      <w:pPr>
        <w:pStyle w:val="Normal"/>
        <w:ind w:firstLine="720" w:start="720" w:end="0"/>
        <w:rPr>
          <w:sz w:val="20"/>
          <w:lang w:val="en-CA" w:eastAsia="en-CA"/>
        </w:rPr>
      </w:pPr>
      <w:r>
        <w:rPr>
          <w:sz w:val="20"/>
          <w:lang w:val="en-CA" w:eastAsia="en-CA"/>
        </w:rPr>
        <mc:AlternateContent>
          <mc:Choice Requires="wps">
            <w:drawing>
              <wp:anchor behindDoc="0" distT="0" distB="0" distL="114935" distR="114935" simplePos="0" locked="0" layoutInCell="1" allowOverlap="1" relativeHeight="3">
                <wp:simplePos x="0" y="0"/>
                <wp:positionH relativeFrom="column">
                  <wp:posOffset>1714500</wp:posOffset>
                </wp:positionH>
                <wp:positionV relativeFrom="paragraph">
                  <wp:posOffset>10160</wp:posOffset>
                </wp:positionV>
                <wp:extent cx="0" cy="571500"/>
                <wp:effectExtent l="38100" t="0" r="38100" b="0"/>
                <wp:wrapNone/>
                <wp:docPr id="2" name=""/>
                <a:graphic xmlns:a="http://schemas.openxmlformats.org/drawingml/2006/main">
                  <a:graphicData uri="http://schemas.microsoft.com/office/word/2010/wordprocessingShape">
                    <wps:wsp>
                      <wps:cNvSpPr/>
                      <wps:spPr>
                        <a:xfrm>
                          <a:off x="0" y="0"/>
                          <a:ext cx="0" cy="57168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35pt,0.8pt" to="135pt,45.75pt" stroked="t" o:allowincell="f" style="position:absolute">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4">
                <wp:simplePos x="0" y="0"/>
                <wp:positionH relativeFrom="column">
                  <wp:posOffset>2514600</wp:posOffset>
                </wp:positionH>
                <wp:positionV relativeFrom="paragraph">
                  <wp:posOffset>10160</wp:posOffset>
                </wp:positionV>
                <wp:extent cx="457200" cy="571500"/>
                <wp:effectExtent l="3810" t="3175" r="0" b="0"/>
                <wp:wrapNone/>
                <wp:docPr id="3" name=""/>
                <a:graphic xmlns:a="http://schemas.openxmlformats.org/drawingml/2006/main">
                  <a:graphicData uri="http://schemas.microsoft.com/office/word/2010/wordprocessingShape">
                    <wps:wsp>
                      <wps:cNvSpPr/>
                      <wps:spPr>
                        <a:xfrm>
                          <a:off x="0" y="0"/>
                          <a:ext cx="457200" cy="57168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98pt,0.8pt" to="233.95pt,45.75pt" stroked="t" o:allowincell="f" style="position:absolute">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5">
                <wp:simplePos x="0" y="0"/>
                <wp:positionH relativeFrom="column">
                  <wp:posOffset>2971800</wp:posOffset>
                </wp:positionH>
                <wp:positionV relativeFrom="paragraph">
                  <wp:posOffset>10160</wp:posOffset>
                </wp:positionV>
                <wp:extent cx="1257300" cy="571500"/>
                <wp:effectExtent l="2540" t="4445" r="0" b="3175"/>
                <wp:wrapNone/>
                <wp:docPr id="4" name=""/>
                <a:graphic xmlns:a="http://schemas.openxmlformats.org/drawingml/2006/main">
                  <a:graphicData uri="http://schemas.microsoft.com/office/word/2010/wordprocessingShape">
                    <wps:wsp>
                      <wps:cNvSpPr/>
                      <wps:spPr>
                        <a:xfrm>
                          <a:off x="0" y="0"/>
                          <a:ext cx="1257480" cy="57168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234pt,0.8pt" to="332.95pt,45.75pt" stroked="t" o:allowincell="f" style="position:absolute">
                <v:stroke color="black" weight="9360" endarrow="block" endarrowwidth="medium" endarrowlength="medium" joinstyle="miter" endcap="flat"/>
                <v:fill o:detectmouseclick="t" on="false"/>
                <w10:wrap type="none"/>
              </v:line>
            </w:pict>
          </mc:Fallback>
        </mc:AlternateContent>
      </w:r>
    </w:p>
    <w:p>
      <w:pPr>
        <w:pStyle w:val="Normal"/>
        <w:ind w:firstLine="720" w:start="720" w:end="0"/>
        <w:rPr/>
      </w:pPr>
      <w:r>
        <w:rPr/>
      </w:r>
    </w:p>
    <w:p>
      <w:pPr>
        <w:pStyle w:val="Normal"/>
        <w:ind w:firstLine="720" w:start="720" w:end="0"/>
        <w:rPr/>
      </w:pPr>
      <w:r>
        <w:rPr/>
      </w:r>
    </w:p>
    <w:p>
      <w:pPr>
        <w:pStyle w:val="Normal"/>
        <w:ind w:firstLine="720" w:start="720" w:end="0"/>
        <w:rPr/>
      </w:pPr>
      <w:r>
        <w:rPr/>
      </w:r>
    </w:p>
    <w:p>
      <w:pPr>
        <w:pStyle w:val="Normal"/>
        <w:rPr/>
      </w:pPr>
      <w:r>
        <w:rPr/>
        <w:t xml:space="preserve">Receipt Point </w:t>
        <w:tab/>
        <w:t xml:space="preserve">    Alternate Point Code</w:t>
        <w:tab/>
        <w:t>Delivery Point         Charge Type</w:t>
      </w:r>
    </w:p>
    <w:p>
      <w:pPr>
        <w:pStyle w:val="Normal"/>
        <w:rPr/>
      </w:pPr>
      <w:r>
        <w:rPr/>
      </w:r>
    </w:p>
    <w:p>
      <w:pPr>
        <w:pStyle w:val="Normal"/>
        <w:rPr/>
      </w:pPr>
      <w:r>
        <w:rPr/>
        <w:t xml:space="preserve">The “Receipt Point” and “Delivery Point” can be described with up to 6 Alpha characters each.  Any new Products must have their RP/DP description match existing point references; CMS uses the RP/DP description to populate the Primary points on the Electronic agreement.  </w:t>
      </w:r>
    </w:p>
    <w:p>
      <w:pPr>
        <w:pStyle w:val="Normal"/>
        <w:rPr/>
      </w:pPr>
      <w:r>
        <w:rPr/>
      </w:r>
    </w:p>
    <w:p>
      <w:pPr>
        <w:pStyle w:val="Normal"/>
        <w:rPr/>
      </w:pPr>
      <w:r>
        <w:rPr/>
        <w:t>The “Alternate Point Code” indicates what, if any, alternate points are granted on the Product at the rate specified on EOL.  Products without Alternate Point Codes do not offer alternates at the specified rate. These code numbers are identical to the code found within CMS and represent specific MID areas.  Currently, any products that would offer a specific alternate point or points (instead of by MIDs) must be processed manually.  The code will download the appropriate alternate point MIDs into CMS for the Electronic agreement.</w:t>
      </w:r>
    </w:p>
    <w:p>
      <w:pPr>
        <w:pStyle w:val="Normal"/>
        <w:rPr/>
      </w:pPr>
      <w:r>
        <w:rPr/>
      </w:r>
    </w:p>
    <w:p>
      <w:pPr>
        <w:pStyle w:val="Normal"/>
        <w:rPr/>
      </w:pPr>
      <w:r>
        <w:rPr/>
        <w:t>The “Charge Type” describes how the rate, agreed to within EOL, will be applied by NNG.  If the Shipper agrees to a $0.1000 rate, the following 3 Charge Types could apply:</w:t>
      </w:r>
    </w:p>
    <w:p>
      <w:pPr>
        <w:pStyle w:val="Normal"/>
        <w:rPr/>
      </w:pPr>
      <w:r>
        <w:rPr/>
      </w:r>
    </w:p>
    <w:p>
      <w:pPr>
        <w:pStyle w:val="Normal"/>
        <w:rPr/>
      </w:pPr>
      <w:r>
        <w:rPr/>
        <w:t>R+C =  The Shipper pays a combined Demand and Commodity rate of $0.1000/Dth/day plus fuel use and unaccounted for.</w:t>
      </w:r>
    </w:p>
    <w:p>
      <w:pPr>
        <w:pStyle w:val="Normal"/>
        <w:rPr/>
      </w:pPr>
      <w:r>
        <w:rPr/>
      </w:r>
    </w:p>
    <w:p>
      <w:pPr>
        <w:pStyle w:val="Normal"/>
        <w:rPr/>
      </w:pPr>
      <w:r>
        <w:rPr/>
        <w:t>RMn = The Shipper pays $0.1000/day Demand + Minimum Commodity plus fuel use and unaccounted for.</w:t>
      </w:r>
    </w:p>
    <w:p>
      <w:pPr>
        <w:pStyle w:val="Normal"/>
        <w:rPr/>
      </w:pPr>
      <w:r>
        <w:rPr/>
      </w:r>
    </w:p>
    <w:p>
      <w:pPr>
        <w:pStyle w:val="Normal"/>
        <w:rPr/>
      </w:pPr>
      <w:r>
        <w:rPr/>
        <w:t>RMx = The Shipper pays $0.1000/day Demand + Maximum Commodity plus fuel use and unaccounted for.</w:t>
      </w:r>
    </w:p>
    <w:p>
      <w:pPr>
        <w:pStyle w:val="Normal"/>
        <w:rPr/>
      </w:pPr>
      <w:r>
        <w:rPr/>
      </w:r>
    </w:p>
    <w:p>
      <w:pPr>
        <w:pStyle w:val="Normal"/>
        <w:rPr/>
      </w:pPr>
      <w:r>
        <w:rPr/>
        <w:t xml:space="preserve">Note:  Currently, all Products are </w:t>
      </w:r>
      <w:r>
        <w:rPr>
          <w:b/>
          <w:bCs/>
        </w:rPr>
        <w:t xml:space="preserve">inclusive </w:t>
      </w:r>
      <w:r>
        <w:rPr/>
        <w:t>of surcharges.</w:t>
      </w:r>
    </w:p>
    <w:p>
      <w:pPr>
        <w:pStyle w:val="Normal"/>
        <w:rPr/>
      </w:pPr>
      <w:r>
        <w:rPr/>
      </w:r>
    </w:p>
    <w:p>
      <w:pPr>
        <w:pStyle w:val="Normal"/>
        <w:rPr/>
      </w:pPr>
      <w:r>
        <w:rPr/>
        <w:t>The remaining information, including rate, term and MDQ, is managed by the Pricing Desk on the EOL site.  When a Shipper obtains a product, this information is submitted by EOL to CMS to complete the Electronic agreement.  The term is shown as the “Reference Period,” and the rate and available MDQ are specified with each package.</w:t>
      </w:r>
    </w:p>
    <w:p>
      <w:pPr>
        <w:pStyle w:val="Normal"/>
        <w:rPr/>
      </w:pPr>
      <w:r>
        <w:rPr/>
      </w:r>
    </w:p>
    <w:p>
      <w:pPr>
        <w:pStyle w:val="Normal"/>
        <w:rPr/>
      </w:pPr>
      <w:r>
        <w:rPr/>
        <w:t>New Products “generally” take 2 days to move into production.  All new products must go through Jane Joyce for a setup process; Jane will forward the request to EOL and the ETS IT staff for activation.</w:t>
      </w:r>
    </w:p>
    <w:p>
      <w:pPr>
        <w:pStyle w:val="Normal"/>
        <w:rPr/>
      </w:pPr>
      <w:r>
        <w:rPr/>
      </w:r>
    </w:p>
    <w:p>
      <w:pPr>
        <w:pStyle w:val="Normal"/>
        <w:rPr/>
      </w:pPr>
      <w:r>
        <w:rPr/>
      </w:r>
    </w:p>
    <w:p>
      <w:pPr>
        <w:pStyle w:val="Normal"/>
        <w:rPr/>
      </w:pPr>
      <w:r>
        <w:rPr/>
        <w:t>Unlike current NNG Transport agreements, these Shippers and the Products they’ve purchased do not go through Capacity and Credit verification, as do our other transportation transactions.  All EOL subscribers are pre-approved on Credit so a notice is sent to the Credit group upon creating the deal in CMS (the deal is not held for approval).  Also,  pipeline Capacity is manually approved before it is posted on EOL.  A download to the CAS system occurs after each transaction is activated to maintain system accuracy.  NOTE:  IF IT’S POSTED ON EOL AND SOMEONE ACCEPTS THE DEAL, IT’S GONE; THE DEAL CAN’T BE STOPPED.  MAKE CERTAIN YOU HAVE CAPACITY APPROVAL…</w:t>
      </w:r>
    </w:p>
    <w:p>
      <w:pPr>
        <w:pStyle w:val="Normal"/>
        <w:rPr/>
      </w:pPr>
      <w:r>
        <w:rPr/>
      </w:r>
    </w:p>
    <w:p>
      <w:pPr>
        <w:pStyle w:val="Normal"/>
        <w:rPr/>
      </w:pPr>
      <w:r>
        <w:rPr/>
        <w:t>The Electronic agreement is complete within a few minutes of the Shipper accepting the deal online and a confirmation is automatically sent, via email, to both the Shipper and appropriate NNG staff.  The email addresses for each Shipper are maintained by the Contract Administration group within the Legal Entity system.  Any changes, to whom the confirmation should be sent (and any new Shippers), must be forwarded to Contract Admin (Dennis Lee) for update.</w:t>
      </w:r>
    </w:p>
    <w:p>
      <w:pPr>
        <w:pStyle w:val="Normal"/>
        <w:rPr/>
      </w:pPr>
      <w:r>
        <w:rPr/>
      </w:r>
    </w:p>
    <w:p>
      <w:pPr>
        <w:pStyle w:val="Normal"/>
        <w:rPr/>
      </w:pPr>
      <w:r>
        <w:rPr/>
        <w:t>In the event of system (EOL, CMS, etc) problems, the EOL staff will notify Marketing (Craig Buehler) of any errors during a deal transmission.  Marketing will contact the ETS IT staff to resolve the issue.  If the transaction error cannot be resolved immediately, Marketing will complete the transaction manually.</w:t>
      </w:r>
    </w:p>
    <w:p>
      <w:pPr>
        <w:pStyle w:val="Normal"/>
        <w:rPr/>
      </w:pPr>
      <w:r>
        <w:rPr/>
      </w:r>
    </w:p>
    <w:p>
      <w:pPr>
        <w:pStyle w:val="Normal"/>
        <w:rPr/>
      </w:pPr>
      <w:r>
        <w:rPr/>
        <w:t>After each agreement has been activated and the confirmation notice sent out, Marketing (Craig Buehler) will input the Demand Charges into TRS and verify the FERC Transactional Report data is correct.  Marketing will also provide a copy of the agreement, appendix and Shipper confirmation notice to Contract Admin for their records.  A log of all EOL generated deals will be maintained on the ETS Dashboard (available the week of May 14, 2001).</w:t>
      </w:r>
    </w:p>
    <w:p>
      <w:pPr>
        <w:pStyle w:val="Normal"/>
        <w:rPr/>
      </w:pPr>
      <w:r>
        <w:rPr/>
      </w:r>
    </w:p>
    <w:p>
      <w:pPr>
        <w:pStyle w:val="Normal"/>
        <w:rPr/>
      </w:pPr>
      <w:r>
        <w:rPr/>
        <w:t>Due to the difficulty of maintaining capacity integrity and obtaining the appropriate approvals for non-standard provisions, EOL deals are STRICTLY limited to products with 1 receipt and 1 delivery point and those using our pre-approved terms and conditions.  We also are prevented from entering into agreements that require FERC Subpart B (311) status.  With the new contract system under construction and our ETS contract approval policy under review, we are hoping to find solutions to some of these issues in the near future.  Please contact Craig Buehler if you have additional questions, comments or suggestions.</w:t>
      </w:r>
    </w:p>
    <w:sectPr>
      <w:type w:val="nextPage"/>
      <w:pgSz w:w="12240" w:h="15840"/>
      <w:pgMar w:left="720" w:right="720" w:gutter="0" w:header="0" w:top="720" w:footer="0" w:bottom="7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2001-05-10T16:17:00Z</dcterms:created>
  <dc:creator>Craig Buehler</dc:creator>
  <dc:description/>
  <dc:language>en-CA</dc:language>
  <cp:lastModifiedBy>Craig Buehler</cp:lastModifiedBy>
  <cp:lastPrinted>2001-04-20T12:39:00Z</cp:lastPrinted>
  <dcterms:modified xsi:type="dcterms:W3CDTF">2001-05-10T16:17:00Z</dcterms:modified>
  <cp:revision>2</cp:revision>
  <dc:subject/>
  <dc:title>FYI:    EOL Product Short Descriptions</dc:title>
</cp:coreProperties>
</file>