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540" w:end="-720"/>
        <w:jc w:val="both"/>
        <w:rPr>
          <w:color w:val="auto"/>
          <w:sz w:val="22"/>
        </w:rPr>
      </w:pPr>
      <w:r>
        <w:rPr>
          <w:color w:val="auto"/>
          <w:sz w:val="22"/>
        </w:rPr>
        <w:t>June 12, 2000</w:t>
      </w:r>
    </w:p>
    <w:p>
      <w:pPr>
        <w:pStyle w:val="Normal"/>
        <w:ind w:start="-540" w:end="-720"/>
        <w:jc w:val="both"/>
        <w:rPr>
          <w:rFonts w:ascii="Bell MT" w:hAnsi="Bell MT" w:cs="Bell MT"/>
          <w:color w:val="auto"/>
          <w:sz w:val="22"/>
        </w:rPr>
      </w:pPr>
      <w:r>
        <w:rPr>
          <w:rFonts w:cs="Bell MT" w:ascii="Bell MT" w:hAnsi="Bell MT"/>
          <w:color w:val="auto"/>
          <w:sz w:val="22"/>
        </w:rPr>
      </w:r>
    </w:p>
    <w:p>
      <w:pPr>
        <w:pStyle w:val="Normal"/>
        <w:ind w:start="-540" w:end="-720"/>
        <w:jc w:val="both"/>
        <w:rPr>
          <w:rFonts w:ascii="Bell MT" w:hAnsi="Bell MT" w:cs="Bell MT"/>
          <w:sz w:val="22"/>
        </w:rPr>
      </w:pPr>
      <w:r>
        <w:rPr>
          <w:rFonts w:cs="Bell MT" w:ascii="Bell MT" w:hAnsi="Bell MT"/>
          <w:sz w:val="22"/>
        </w:rPr>
      </w:r>
    </w:p>
    <w:p>
      <w:pPr>
        <w:pStyle w:val="Normal"/>
        <w:ind w:start="-540" w:end="-720"/>
        <w:jc w:val="both"/>
        <w:rPr>
          <w:rFonts w:ascii="Bell MT" w:hAnsi="Bell MT" w:cs="Bell MT"/>
          <w:sz w:val="22"/>
        </w:rPr>
      </w:pPr>
      <w:r>
        <w:rPr>
          <w:rFonts w:cs="Bell MT" w:ascii="Bell MT" w:hAnsi="Bell MT"/>
          <w:sz w:val="22"/>
        </w:rPr>
      </w:r>
    </w:p>
    <w:p>
      <w:pPr>
        <w:pStyle w:val="Normal"/>
        <w:ind w:start="-540" w:end="-720"/>
        <w:jc w:val="both"/>
        <w:rPr>
          <w:rFonts w:ascii="Bell MT" w:hAnsi="Bell MT" w:cs="Bell MT"/>
          <w:sz w:val="22"/>
        </w:rPr>
      </w:pPr>
      <w:r>
        <w:rPr>
          <w:rFonts w:cs="Bell MT" w:ascii="Bell MT" w:hAnsi="Bell MT"/>
          <w:sz w:val="22"/>
        </w:rPr>
      </w:r>
    </w:p>
    <w:p>
      <w:pPr>
        <w:pStyle w:val="Normal"/>
        <w:ind w:start="-540" w:end="-720"/>
        <w:jc w:val="both"/>
        <w:rPr>
          <w:rFonts w:ascii="Bell MT" w:hAnsi="Bell MT" w:cs="Bell MT"/>
          <w:b/>
          <w:sz w:val="22"/>
        </w:rPr>
      </w:pPr>
      <w:r>
        <w:rPr>
          <w:rFonts w:cs="Bell MT" w:ascii="Bell MT" w:hAnsi="Bell MT"/>
          <w:b/>
          <w:sz w:val="22"/>
        </w:rPr>
        <w:t>TO:</w:t>
        <w:tab/>
        <w:t>Transwestern Pipeline Company Customers</w:t>
      </w:r>
    </w:p>
    <w:p>
      <w:pPr>
        <w:pStyle w:val="Normal"/>
        <w:ind w:start="-540" w:end="-720"/>
        <w:jc w:val="both"/>
        <w:rPr>
          <w:rFonts w:ascii="Bell MT" w:hAnsi="Bell MT" w:cs="Bell MT"/>
          <w:b/>
          <w:sz w:val="22"/>
        </w:rPr>
      </w:pPr>
      <w:r>
        <w:rPr>
          <w:rFonts w:cs="Bell MT" w:ascii="Bell MT" w:hAnsi="Bell MT"/>
          <w:b/>
          <w:sz w:val="22"/>
        </w:rPr>
      </w:r>
    </w:p>
    <w:p>
      <w:pPr>
        <w:pStyle w:val="Normal"/>
        <w:ind w:start="-540" w:end="-720"/>
        <w:jc w:val="both"/>
        <w:rPr>
          <w:rFonts w:ascii="Bell MT" w:hAnsi="Bell MT" w:cs="Bell MT"/>
          <w:b/>
          <w:sz w:val="22"/>
        </w:rPr>
      </w:pPr>
      <w:r>
        <w:rPr>
          <w:rFonts w:cs="Bell MT" w:ascii="Bell MT" w:hAnsi="Bell MT"/>
          <w:b/>
          <w:sz w:val="22"/>
        </w:rPr>
        <w:t>RE:</w:t>
        <w:tab/>
        <w:t>Announcing Transwestern Capacity</w:t>
      </w:r>
    </w:p>
    <w:p>
      <w:pPr>
        <w:pStyle w:val="Normal"/>
        <w:ind w:end="-720"/>
        <w:jc w:val="both"/>
        <w:rPr>
          <w:rFonts w:ascii="Bell MT" w:hAnsi="Bell MT" w:cs="Bell MT"/>
          <w:b/>
          <w:sz w:val="22"/>
        </w:rPr>
      </w:pPr>
      <w:r>
        <w:rPr>
          <w:rFonts w:cs="Bell MT" w:ascii="Bell MT" w:hAnsi="Bell MT"/>
          <w:b/>
          <w:sz w:val="22"/>
        </w:rPr>
        <w:t>Open Season on EnronOnline!</w:t>
      </w:r>
    </w:p>
    <w:p>
      <w:pPr>
        <w:pStyle w:val="Normal"/>
        <w:ind w:start="-540" w:end="-720"/>
        <w:jc w:val="both"/>
        <w:rPr>
          <w:rFonts w:ascii="Bell MT" w:hAnsi="Bell MT" w:cs="Bell MT"/>
          <w:b/>
          <w:sz w:val="22"/>
        </w:rPr>
      </w:pPr>
      <w:r>
        <w:rPr>
          <w:rFonts w:cs="Bell MT" w:ascii="Bell MT" w:hAnsi="Bell MT"/>
          <w:b/>
          <w:sz w:val="22"/>
        </w:rPr>
      </w:r>
    </w:p>
    <w:p>
      <w:pPr>
        <w:pStyle w:val="Normal"/>
        <w:ind w:start="-540" w:end="-720"/>
        <w:jc w:val="both"/>
        <w:rPr>
          <w:rFonts w:ascii="Bell MT" w:hAnsi="Bell MT" w:cs="Bell MT"/>
          <w:sz w:val="22"/>
        </w:rPr>
      </w:pPr>
      <w:r>
        <w:rPr>
          <w:rFonts w:cs="Bell MT" w:ascii="Bell MT" w:hAnsi="Bell MT"/>
          <w:sz w:val="22"/>
        </w:rPr>
      </w:r>
    </w:p>
    <w:p>
      <w:pPr>
        <w:pStyle w:val="BodyText"/>
        <w:ind w:start="-540" w:end="-720"/>
        <w:jc w:val="both"/>
        <w:rPr>
          <w:color w:val="auto"/>
          <w:sz w:val="22"/>
        </w:rPr>
      </w:pPr>
      <w:r>
        <w:rPr>
          <w:color w:val="auto"/>
          <w:sz w:val="22"/>
        </w:rPr>
        <w:t>Transwestern is pleased to lead the industry in offering interstate transportation capacity through EnronOnline.  Transwestern and EnronOnline have teamed up to offer an Internet-based open season of interstate transportation capacity for July 2000.  This is the first time a pipeline has made its capacity available to a broader base of customers through the use of EnronOnline.  With this significant start, the possibilities for adding other pipeline products and services on-line should prove virtually limitless.</w:t>
      </w:r>
    </w:p>
    <w:p>
      <w:pPr>
        <w:pStyle w:val="Normal"/>
        <w:ind w:start="-540" w:end="-720"/>
        <w:jc w:val="both"/>
        <w:rPr>
          <w:rFonts w:ascii="Bell MT" w:hAnsi="Bell MT" w:cs="Bell MT"/>
          <w:color w:val="auto"/>
          <w:sz w:val="22"/>
        </w:rPr>
      </w:pPr>
      <w:r>
        <w:rPr>
          <w:rFonts w:cs="Bell MT" w:ascii="Bell MT" w:hAnsi="Bell MT"/>
          <w:color w:val="auto"/>
          <w:sz w:val="22"/>
        </w:rPr>
      </w:r>
    </w:p>
    <w:p>
      <w:pPr>
        <w:pStyle w:val="BodyText"/>
        <w:ind w:start="-540" w:end="-720"/>
        <w:jc w:val="both"/>
        <w:rPr>
          <w:color w:val="auto"/>
          <w:sz w:val="22"/>
        </w:rPr>
      </w:pPr>
      <w:r>
        <w:rPr>
          <w:color w:val="auto"/>
          <w:sz w:val="22"/>
        </w:rPr>
        <w:t>EnronOnline is quickly becoming the world’s largest e-commerce site.  Since its launch, EnronOnline has completed over 137,000 commodity transactions with a gross transactional value exceeding $60 billion.  With the popularity of EnronOnline, many of Transwestern's customers are already using it for commodity transactions and price discovery; therefore, having Transwestern’s capacity available on the same platform results in a much more convenient way for our customers to "shop" for Transwestern capacity.</w:t>
      </w:r>
    </w:p>
    <w:p>
      <w:pPr>
        <w:pStyle w:val="Normal"/>
        <w:ind w:start="-540" w:end="-720"/>
        <w:jc w:val="both"/>
        <w:rPr>
          <w:rFonts w:ascii="Bell MT" w:hAnsi="Bell MT" w:cs="Bell MT"/>
          <w:color w:val="auto"/>
          <w:sz w:val="22"/>
        </w:rPr>
      </w:pPr>
      <w:r>
        <w:rPr>
          <w:rFonts w:cs="Bell MT" w:ascii="Bell MT" w:hAnsi="Bell MT"/>
          <w:color w:val="auto"/>
          <w:sz w:val="22"/>
        </w:rPr>
      </w:r>
    </w:p>
    <w:p>
      <w:pPr>
        <w:pStyle w:val="BodyText"/>
        <w:ind w:start="-540" w:end="-720"/>
        <w:jc w:val="both"/>
        <w:rPr>
          <w:color w:val="auto"/>
          <w:sz w:val="22"/>
        </w:rPr>
      </w:pPr>
      <w:r>
        <w:rPr>
          <w:color w:val="auto"/>
          <w:sz w:val="22"/>
        </w:rPr>
        <w:t>Transwestern will initially hold an open season through a sealed bid process for 20,000 Dth/day of firm capacity on EnronOnline for the month of July 2000.  The capacity offered extends from receipt points in our East of Thoreau area to the California border at the PG&amp;E Topock and/or Mojave Topock delivery point(s).  The open season for July capacity will begin on EnronOnline at 8:00 a.m. Central Time on Thursday, June 22nd and will close at 2:00 p.m. Central Time on Monday, June 26th.  Although we encourage our customers to use EnronOnline for bidding on this capacity, customers may also submit bids directly to a Transwestern representative during the open season bid period.  All bidders will be notified of acceptance or rejection of their bids by 4:00 p.m. Central Time on June 26th.  We expect that open seasons will continue to be held on a monthly basis.</w:t>
      </w:r>
    </w:p>
    <w:p>
      <w:pPr>
        <w:pStyle w:val="Normal"/>
        <w:ind w:start="-540" w:end="-720"/>
        <w:jc w:val="both"/>
        <w:rPr>
          <w:rFonts w:ascii="Bell MT" w:hAnsi="Bell MT" w:cs="Bell MT"/>
          <w:color w:val="auto"/>
          <w:sz w:val="22"/>
        </w:rPr>
      </w:pPr>
      <w:r>
        <w:rPr>
          <w:rFonts w:cs="Bell MT" w:ascii="Bell MT" w:hAnsi="Bell MT"/>
          <w:color w:val="auto"/>
          <w:sz w:val="22"/>
        </w:rPr>
      </w:r>
    </w:p>
    <w:p>
      <w:pPr>
        <w:pStyle w:val="Normal"/>
        <w:ind w:start="-540" w:end="-720"/>
        <w:jc w:val="both"/>
        <w:rPr/>
      </w:pPr>
      <w:r>
        <w:rPr>
          <w:rFonts w:cs="Bell MT" w:ascii="Bell MT" w:hAnsi="Bell MT"/>
          <w:sz w:val="22"/>
        </w:rPr>
        <w:t>If you are an existing EnronOnline customer, no registration is required.  You may start submitting your bids as soon as the site opens.  If you are not a registered customer, simply complete the online registration forms by going directly to the EnronOnline website at www.enrononline.com.  We encourage you to register prior to June 22</w:t>
      </w:r>
      <w:r>
        <w:rPr>
          <w:rFonts w:cs="Bell MT" w:ascii="Bell MT" w:hAnsi="Bell MT"/>
          <w:sz w:val="22"/>
          <w:vertAlign w:val="superscript"/>
        </w:rPr>
        <w:t>nd</w:t>
      </w:r>
      <w:r>
        <w:rPr>
          <w:rFonts w:cs="Bell MT" w:ascii="Bell MT" w:hAnsi="Bell MT"/>
          <w:sz w:val="22"/>
        </w:rPr>
        <w:t>, the day the bidding process begins.</w:t>
      </w:r>
    </w:p>
    <w:p>
      <w:pPr>
        <w:pStyle w:val="Normal"/>
        <w:ind w:start="-540" w:end="-720"/>
        <w:jc w:val="both"/>
        <w:rPr>
          <w:rFonts w:ascii="Bell MT" w:hAnsi="Bell MT" w:cs="Bell MT"/>
          <w:sz w:val="22"/>
        </w:rPr>
      </w:pPr>
      <w:r>
        <w:rPr>
          <w:rFonts w:cs="Bell MT" w:ascii="Bell MT" w:hAnsi="Bell MT"/>
          <w:sz w:val="22"/>
        </w:rPr>
      </w:r>
    </w:p>
    <w:p>
      <w:pPr>
        <w:pStyle w:val="Normal"/>
        <w:ind w:start="-540" w:end="-720"/>
        <w:jc w:val="both"/>
        <w:rPr>
          <w:rFonts w:ascii="Bell MT" w:hAnsi="Bell MT" w:cs="Bell MT"/>
          <w:sz w:val="22"/>
        </w:rPr>
      </w:pPr>
      <w:r>
        <w:rPr>
          <w:rFonts w:cs="Bell MT" w:ascii="Bell MT" w:hAnsi="Bell MT"/>
          <w:sz w:val="22"/>
        </w:rPr>
        <w:t>We view this open season as an exciting initial step in our offering of various packages of capacity on EnronOnline.  As always, there is a Transwestern representative ready to assist you with questions about this or any other product or service, including other available capacity.  Please call T.K. Lohman for more information at (713) 853-7610, or you may contact any of our other Transwestern Marketing representatives.</w:t>
      </w:r>
    </w:p>
    <w:p>
      <w:pPr>
        <w:pStyle w:val="Normal"/>
        <w:ind w:start="-540" w:end="-720"/>
        <w:jc w:val="both"/>
        <w:rPr>
          <w:rFonts w:ascii="Bell MT" w:hAnsi="Bell MT" w:cs="Bell MT"/>
          <w:sz w:val="22"/>
        </w:rPr>
      </w:pPr>
      <w:r>
        <w:rPr>
          <w:rFonts w:cs="Bell MT" w:ascii="Bell MT" w:hAnsi="Bell MT"/>
          <w:sz w:val="22"/>
        </w:rPr>
      </w:r>
    </w:p>
    <w:p>
      <w:pPr>
        <w:pStyle w:val="Normal"/>
        <w:ind w:start="-540" w:end="-720"/>
        <w:jc w:val="both"/>
        <w:rPr>
          <w:rFonts w:ascii="Bell MT" w:hAnsi="Bell MT" w:cs="Bell MT"/>
          <w:sz w:val="22"/>
        </w:rPr>
      </w:pPr>
      <w:r>
        <w:rPr>
          <w:rFonts w:cs="Bell MT" w:ascii="Bell MT" w:hAnsi="Bell MT"/>
          <w:sz w:val="22"/>
        </w:rPr>
      </w:r>
    </w:p>
    <w:p>
      <w:pPr>
        <w:pStyle w:val="Normal"/>
        <w:tabs>
          <w:tab w:val="clear" w:pos="720"/>
          <w:tab w:val="left" w:pos="4410" w:leader="none"/>
        </w:tabs>
        <w:ind w:start="-540" w:end="-720"/>
        <w:jc w:val="both"/>
        <w:rPr>
          <w:rFonts w:ascii="Bell MT" w:hAnsi="Bell MT" w:cs="Bell MT"/>
          <w:sz w:val="22"/>
        </w:rPr>
      </w:pPr>
      <w:r>
        <w:rPr>
          <w:rFonts w:cs="Bell MT" w:ascii="Bell MT" w:hAnsi="Bell MT"/>
          <w:sz w:val="22"/>
        </w:rPr>
        <w:tab/>
        <w:t>Sincerely,</w:t>
      </w:r>
    </w:p>
    <w:p>
      <w:pPr>
        <w:pStyle w:val="Normal"/>
        <w:tabs>
          <w:tab w:val="clear" w:pos="720"/>
          <w:tab w:val="left" w:pos="4410" w:leader="none"/>
        </w:tabs>
        <w:ind w:start="-540" w:end="-720"/>
        <w:jc w:val="both"/>
        <w:rPr>
          <w:rFonts w:ascii="Bell MT" w:hAnsi="Bell MT" w:cs="Bell MT"/>
          <w:sz w:val="22"/>
        </w:rPr>
      </w:pPr>
      <w:r>
        <w:rPr>
          <w:rFonts w:cs="Bell MT" w:ascii="Bell MT" w:hAnsi="Bell MT"/>
          <w:sz w:val="22"/>
        </w:rPr>
      </w:r>
    </w:p>
    <w:p>
      <w:pPr>
        <w:pStyle w:val="Normal"/>
        <w:tabs>
          <w:tab w:val="clear" w:pos="720"/>
          <w:tab w:val="left" w:pos="4410" w:leader="none"/>
        </w:tabs>
        <w:ind w:start="-540" w:end="-720"/>
        <w:jc w:val="both"/>
        <w:rPr>
          <w:rFonts w:ascii="Bell MT" w:hAnsi="Bell MT" w:cs="Bell MT"/>
          <w:sz w:val="22"/>
        </w:rPr>
      </w:pPr>
      <w:r>
        <w:rPr>
          <w:rFonts w:cs="Bell MT" w:ascii="Bell MT" w:hAnsi="Bell MT"/>
          <w:sz w:val="22"/>
        </w:rPr>
      </w:r>
    </w:p>
    <w:p>
      <w:pPr>
        <w:pStyle w:val="Normal"/>
        <w:tabs>
          <w:tab w:val="clear" w:pos="720"/>
          <w:tab w:val="left" w:pos="4410" w:leader="none"/>
        </w:tabs>
        <w:ind w:start="-540" w:end="-720"/>
        <w:jc w:val="both"/>
        <w:rPr>
          <w:rFonts w:ascii="Bell MT" w:hAnsi="Bell MT" w:cs="Bell MT"/>
          <w:sz w:val="22"/>
        </w:rPr>
      </w:pPr>
      <w:r>
        <w:rPr>
          <w:rFonts w:cs="Bell MT" w:ascii="Bell MT" w:hAnsi="Bell MT"/>
          <w:sz w:val="22"/>
        </w:rPr>
      </w:r>
    </w:p>
    <w:p>
      <w:pPr>
        <w:pStyle w:val="Normal"/>
        <w:tabs>
          <w:tab w:val="clear" w:pos="720"/>
          <w:tab w:val="left" w:pos="4410" w:leader="none"/>
        </w:tabs>
        <w:ind w:start="-540" w:end="-720"/>
        <w:jc w:val="both"/>
        <w:rPr>
          <w:rFonts w:ascii="Bell MT" w:hAnsi="Bell MT" w:cs="Bell MT"/>
          <w:sz w:val="22"/>
        </w:rPr>
      </w:pPr>
      <w:r>
        <w:rPr>
          <w:rFonts w:cs="Bell MT" w:ascii="Bell MT" w:hAnsi="Bell MT"/>
          <w:sz w:val="22"/>
        </w:rPr>
        <w:t>jyw:rlw</w:t>
      </w:r>
    </w:p>
    <w:p>
      <w:pPr>
        <w:pStyle w:val="Normal"/>
        <w:tabs>
          <w:tab w:val="clear" w:pos="720"/>
          <w:tab w:val="left" w:pos="4410" w:leader="none"/>
        </w:tabs>
        <w:ind w:start="-540" w:end="-720"/>
        <w:jc w:val="both"/>
        <w:rPr>
          <w:rFonts w:ascii="Bell MT" w:hAnsi="Bell MT" w:cs="Bell MT"/>
          <w:sz w:val="22"/>
        </w:rPr>
      </w:pPr>
      <w:r>
        <w:rPr>
          <w:rFonts w:cs="Bell MT" w:ascii="Bell MT" w:hAnsi="Bell MT"/>
          <w:sz w:val="22"/>
        </w:rPr>
      </w:r>
    </w:p>
    <w:p>
      <w:pPr>
        <w:pStyle w:val="Normal"/>
        <w:tabs>
          <w:tab w:val="clear" w:pos="720"/>
          <w:tab w:val="left" w:pos="4410" w:leader="none"/>
        </w:tabs>
        <w:ind w:start="-540" w:end="-720"/>
        <w:jc w:val="both"/>
        <w:rPr>
          <w:rFonts w:ascii="Bell MT" w:hAnsi="Bell MT" w:cs="Bell MT"/>
          <w:sz w:val="22"/>
        </w:rPr>
      </w:pPr>
      <w:r>
        <w:rPr>
          <w:rFonts w:cs="Bell MT" w:ascii="Bell MT" w:hAnsi="Bell MT"/>
          <w:sz w:val="22"/>
        </w:rPr>
        <w:t>Attachment</w:t>
      </w:r>
    </w:p>
    <w:sectPr>
      <w:headerReference w:type="default" r:id="rId2"/>
      <w:type w:val="nextPage"/>
      <w:pgSz w:w="12240" w:h="15840"/>
      <w:pgMar w:left="1440" w:right="1440" w:gutter="0" w:header="720" w:top="297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ll MT">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i/>
        <w:i/>
      </w:rPr>
    </w:pPr>
    <w:r>
      <w:rPr>
        <w:b/>
        <w:i/>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Bell MT" w:hAnsi="Bell MT" w:cs="Bell MT"/>
      <w:color w:val="0000FF"/>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ell MT" w:hAnsi="Bell MT" w:cs="Bell MT"/>
      <w:color w:val="0000FF"/>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2000-05-25T20:24:00Z</dcterms:created>
  <dc:creator>jeffery c. fawcett</dc:creator>
  <dc:description/>
  <dc:language>en-CA</dc:language>
  <cp:lastModifiedBy>Ricki Winters</cp:lastModifiedBy>
  <cp:lastPrinted>2000-06-09T16:31:00Z</cp:lastPrinted>
  <dcterms:modified xsi:type="dcterms:W3CDTF">2000-06-09T19:05:00Z</dcterms:modified>
  <cp:revision>40</cp:revision>
  <dc:subject/>
  <dc:title>Transwestern is pleased to announce another new service on its pipeline</dc:title>
</cp:coreProperties>
</file>