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firstLine="720" w:end="0"/>
        <w:rPr>
          <w:sz w:val="24"/>
        </w:rPr>
      </w:pPr>
      <w:r>
        <w:rPr>
          <w:sz w:val="24"/>
        </w:rPr>
      </w:r>
    </w:p>
    <w:p>
      <w:pPr>
        <w:pStyle w:val="Normal"/>
        <w:spacing w:lineRule="auto" w:line="360"/>
        <w:ind w:firstLine="720" w:end="0"/>
        <w:rPr>
          <w:sz w:val="24"/>
        </w:rPr>
      </w:pPr>
      <w:r>
        <w:rPr>
          <w:sz w:val="24"/>
        </w:rPr>
      </w:r>
    </w:p>
    <w:p>
      <w:pPr>
        <w:pStyle w:val="Normal"/>
        <w:spacing w:lineRule="auto" w:line="360"/>
        <w:ind w:firstLine="720" w:end="0"/>
        <w:rPr>
          <w:sz w:val="24"/>
        </w:rPr>
      </w:pPr>
      <w:r>
        <w:rPr>
          <w:sz w:val="24"/>
        </w:rPr>
      </w:r>
    </w:p>
    <w:p>
      <w:pPr>
        <w:pStyle w:val="Normal"/>
        <w:ind w:firstLine="720" w:end="0"/>
        <w:rPr>
          <w:sz w:val="24"/>
        </w:rPr>
      </w:pPr>
      <w:r>
        <w:rPr>
          <w:sz w:val="24"/>
        </w:rPr>
        <w:tab/>
        <w:tab/>
        <w:tab/>
        <w:tab/>
        <w:tab/>
        <w:tab/>
        <w:tab/>
        <w:t>Mark Palmer</w:t>
      </w:r>
    </w:p>
    <w:p>
      <w:pPr>
        <w:pStyle w:val="Normal"/>
        <w:ind w:firstLine="720" w:end="0"/>
        <w:rPr>
          <w:sz w:val="24"/>
        </w:rPr>
      </w:pPr>
      <w:r>
        <w:rPr>
          <w:sz w:val="24"/>
        </w:rPr>
        <w:tab/>
        <w:tab/>
        <w:tab/>
        <w:tab/>
        <w:tab/>
        <w:tab/>
        <w:tab/>
        <w:t>(713) 853-4738</w:t>
      </w:r>
    </w:p>
    <w:p>
      <w:pPr>
        <w:pStyle w:val="Normal"/>
        <w:spacing w:lineRule="auto" w:line="360"/>
        <w:ind w:firstLine="720" w:end="0"/>
        <w:rPr>
          <w:sz w:val="24"/>
        </w:rPr>
      </w:pPr>
      <w:r>
        <w:rPr>
          <w:sz w:val="24"/>
        </w:rPr>
      </w:r>
    </w:p>
    <w:p>
      <w:pPr>
        <w:pStyle w:val="BodyText"/>
        <w:rPr/>
      </w:pPr>
      <w:r>
        <w:rPr>
          <w:b/>
          <w:u w:val="single"/>
        </w:rPr>
        <w:t>ENRON EXTENDS E</w:t>
      </w:r>
      <w:r>
        <w:rPr>
          <w:b/>
          <w:sz w:val="18"/>
          <w:u w:val="single"/>
        </w:rPr>
        <w:t>NRON</w:t>
      </w:r>
      <w:r>
        <w:rPr>
          <w:b/>
          <w:u w:val="single"/>
        </w:rPr>
        <w:t>O</w:t>
      </w:r>
      <w:r>
        <w:rPr>
          <w:b/>
          <w:sz w:val="18"/>
          <w:u w:val="single"/>
        </w:rPr>
        <w:t>NLINE</w:t>
      </w:r>
      <w:r>
        <w:rPr>
          <w:b/>
          <w:u w:val="single"/>
        </w:rPr>
        <w:t xml:space="preserve"> PRICING TO TRUE QUOTE.COM</w:t>
      </w:r>
    </w:p>
    <w:p>
      <w:pPr>
        <w:pStyle w:val="Heading1"/>
        <w:rPr/>
      </w:pPr>
      <w:r>
        <w:rPr/>
        <w:t>FOR IMMEDIATE RELEASE:  July 12, 2000</w:t>
      </w:r>
    </w:p>
    <w:p>
      <w:pPr>
        <w:pStyle w:val="Normal"/>
        <w:spacing w:lineRule="auto" w:line="360"/>
        <w:ind w:firstLine="720" w:end="0"/>
        <w:rPr/>
      </w:pPr>
      <w:r>
        <w:rPr>
          <w:b/>
          <w:sz w:val="24"/>
        </w:rPr>
        <w:t>HOUSTON</w:t>
      </w:r>
      <w:r>
        <w:rPr>
          <w:sz w:val="24"/>
        </w:rPr>
        <w:t xml:space="preserve"> -- Enron today announced that it has signed a memorandum of understanding to extend EnronOnline pricing for North American natural gas and electricity to True Quote.com.  EnronOnline will post prices at which it will buy or sell natural gas and electricity simultaneously on True Quote.  Customers will be able to transact on either system.  EnronOnline, which has conducted transactions worth more than $85 billion in 2000, will continue to post two-way prices for more than 800 products in global energy and commodities markets.</w:t>
      </w:r>
    </w:p>
    <w:p>
      <w:pPr>
        <w:pStyle w:val="BodyTextIndent"/>
        <w:rPr/>
      </w:pPr>
      <w:r>
        <w:rPr/>
        <w:t>“</w:t>
      </w:r>
      <w:r>
        <w:rPr/>
        <w:t>Enron’s goal is to continue increasing liquidity in natural gas and electricity markets,” said Louise Kitchen, managing director of Enron Net Works.  “By extending our pricing to True Quote, more potential buyers and sellers will be able to transact with Enron.”</w:t>
      </w:r>
    </w:p>
    <w:p>
      <w:pPr>
        <w:pStyle w:val="Normal"/>
        <w:spacing w:lineRule="auto" w:line="360"/>
        <w:ind w:firstLine="720" w:end="0"/>
        <w:rPr/>
      </w:pPr>
      <w:r>
        <w:rPr>
          <w:rFonts w:cs="Tms Rmn" w:ascii="Tms Rmn" w:hAnsi="Tms Rmn"/>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ms Rmn" w:ascii="Tms Rmn" w:hAnsi="Tms Rmn"/>
          <w:i/>
          <w:color w:val="000000"/>
          <w:sz w:val="24"/>
          <w:lang w:eastAsia="en-US"/>
        </w:rPr>
        <w:t>Fortune</w:t>
      </w:r>
      <w:r>
        <w:rPr>
          <w:rFonts w:cs="Tms Rmn" w:ascii="Tms Rmn" w:hAnsi="Tms Rmn"/>
          <w:color w:val="000000"/>
          <w:sz w:val="24"/>
          <w:lang w:eastAsia="en-US"/>
        </w:rPr>
        <w:t xml:space="preserve"> magazine has named Enron "Most Innovative Company" for five consecutive years, the top company for "Quality of Management" and the second best company for "Employee Talent."  In addition, Enron ranks in the top quarter of </w:t>
      </w:r>
      <w:r>
        <w:rPr>
          <w:rFonts w:cs="Tms Rmn" w:ascii="Tms Rmn" w:hAnsi="Tms Rmn"/>
          <w:i/>
          <w:color w:val="000000"/>
          <w:sz w:val="24"/>
          <w:lang w:eastAsia="en-US"/>
        </w:rPr>
        <w:t>Fortune's</w:t>
      </w:r>
      <w:r>
        <w:rPr>
          <w:rFonts w:cs="Tms Rmn" w:ascii="Tms Rmn" w:hAnsi="Tms Rmn"/>
          <w:color w:val="000000"/>
          <w:sz w:val="24"/>
          <w:lang w:eastAsia="en-US"/>
        </w:rPr>
        <w:t xml:space="preserve"> "Best 100 Companies to Work For in America."  Enron’s Internet address is </w:t>
      </w:r>
      <w:r>
        <w:rPr>
          <w:rFonts w:cs="Tms Rmn" w:ascii="Tms Rmn" w:hAnsi="Tms Rmn"/>
          <w:color w:val="0000FF"/>
          <w:sz w:val="24"/>
          <w:u w:val="single"/>
          <w:lang w:eastAsia="en-US"/>
        </w:rPr>
        <w:t>www.enron.com</w:t>
      </w:r>
      <w:r>
        <w:rPr>
          <w:rFonts w:cs="Tms Rmn" w:ascii="Tms Rmn" w:hAnsi="Tms Rmn"/>
          <w:color w:val="000000"/>
          <w:sz w:val="24"/>
          <w:lang w:eastAsia="en-US"/>
        </w:rPr>
        <w:t>.  The stock is traded under the ticker symbol “ENE.”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ind w:firstLine="720" w:start="0" w:end="0"/>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2000-07-07T12:09:00Z</dcterms:created>
  <dc:creator>mpalmer</dc:creator>
  <dc:description/>
  <dc:language>en-CA</dc:language>
  <cp:lastModifiedBy>mpalmer</cp:lastModifiedBy>
  <cp:lastPrinted>2000-07-06T15:40:00Z</cp:lastPrinted>
  <dcterms:modified xsi:type="dcterms:W3CDTF">2000-07-11T16:30:00Z</dcterms:modified>
  <cp:revision>4</cp:revision>
  <dc:subject/>
  <dc:title/>
</cp:coreProperties>
</file>