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ind w:firstLine="720" w:end="0"/>
        <w:rPr>
          <w:sz w:val="24"/>
        </w:rPr>
      </w:pPr>
      <w:r>
        <w:rPr>
          <w:sz w:val="24"/>
        </w:rPr>
        <w:tab/>
        <w:tab/>
        <w:tab/>
        <w:tab/>
        <w:tab/>
        <w:tab/>
        <w:tab/>
        <w:t>Mark Palmer</w:t>
      </w:r>
    </w:p>
    <w:p>
      <w:pPr>
        <w:pStyle w:val="Normal"/>
        <w:ind w:firstLine="720" w:end="0"/>
        <w:rPr>
          <w:sz w:val="24"/>
        </w:rPr>
      </w:pPr>
      <w:r>
        <w:rPr>
          <w:sz w:val="24"/>
        </w:rPr>
        <w:tab/>
        <w:tab/>
        <w:tab/>
        <w:tab/>
        <w:tab/>
        <w:tab/>
        <w:tab/>
        <w:t>(713) 853-4738</w:t>
      </w:r>
    </w:p>
    <w:p>
      <w:pPr>
        <w:pStyle w:val="Normal"/>
        <w:spacing w:lineRule="auto" w:line="360"/>
        <w:ind w:firstLine="720" w:end="0"/>
        <w:rPr>
          <w:sz w:val="24"/>
        </w:rPr>
      </w:pPr>
      <w:r>
        <w:rPr>
          <w:sz w:val="24"/>
        </w:rPr>
      </w:r>
    </w:p>
    <w:p>
      <w:pPr>
        <w:pStyle w:val="BodyText"/>
        <w:rPr/>
      </w:pPr>
      <w:r>
        <w:rPr>
          <w:b/>
          <w:u w:val="single"/>
        </w:rPr>
        <w:t>ENRON EXTENDS E</w:t>
      </w:r>
      <w:r>
        <w:rPr>
          <w:b/>
          <w:sz w:val="18"/>
          <w:u w:val="single"/>
        </w:rPr>
        <w:t>NRON</w:t>
      </w:r>
      <w:r>
        <w:rPr>
          <w:b/>
          <w:u w:val="single"/>
        </w:rPr>
        <w:t>O</w:t>
      </w:r>
      <w:r>
        <w:rPr>
          <w:b/>
          <w:sz w:val="18"/>
          <w:u w:val="single"/>
        </w:rPr>
        <w:t>NLINE</w:t>
      </w:r>
      <w:r>
        <w:rPr>
          <w:b/>
          <w:u w:val="single"/>
        </w:rPr>
        <w:t xml:space="preserve"> PRICING TO HOUSTONSTREET</w:t>
      </w:r>
    </w:p>
    <w:p>
      <w:pPr>
        <w:pStyle w:val="Heading1"/>
        <w:rPr/>
      </w:pPr>
      <w:r>
        <w:rPr/>
        <w:t>FOR IMMEDIATE RELEASE:  July 12, 2000</w:t>
      </w:r>
    </w:p>
    <w:p>
      <w:pPr>
        <w:pStyle w:val="Normal"/>
        <w:spacing w:lineRule="auto" w:line="360"/>
        <w:ind w:firstLine="720" w:end="0"/>
        <w:rPr/>
      </w:pPr>
      <w:r>
        <w:rPr>
          <w:b/>
          <w:sz w:val="24"/>
        </w:rPr>
        <w:t>HOUSTON</w:t>
      </w:r>
      <w:r>
        <w:rPr>
          <w:sz w:val="24"/>
        </w:rPr>
        <w:t xml:space="preserve"> -- Enron today announced that it has signed a memorandum of understanding to extend EnronOnline pricing for North American natural gas and electricity to HoustonStreet Exchange, Inc.  EnronOnline will post prices at which it will buy or sell natural gas and electricity simultaneously on HoustonStreet.  Customers will be able to transact on either system.  EnronOnline, which has conducted transactions worth more than $85 billion in 2000, will continue to post two-way prices for more than 800 products in global energy and commodities markets.  </w:t>
      </w:r>
    </w:p>
    <w:p>
      <w:pPr>
        <w:pStyle w:val="BodyTextIndent"/>
        <w:rPr/>
      </w:pPr>
      <w:r>
        <w:rPr/>
        <w:t>“</w:t>
      </w:r>
      <w:r>
        <w:rPr/>
        <w:t xml:space="preserve">Enron believes that by extending the availability of its North American natural gas and electricity pricing to other transaction platforms, liquidity will continue to be enhanced and Enron will be able to transact with more buyers and sellers,” said Louise Kitchen, managing director of Enron Net Works.  </w:t>
      </w:r>
    </w:p>
    <w:p>
      <w:pPr>
        <w:pStyle w:val="Normal"/>
        <w:spacing w:lineRule="auto" w:line="360"/>
        <w:ind w:firstLine="720" w:end="0"/>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ind w:firstLine="720" w:start="0" w:end="0"/>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2000-07-07T11:49:00Z</dcterms:created>
  <dc:creator>mpalmer</dc:creator>
  <dc:description/>
  <dc:language>en-CA</dc:language>
  <cp:lastModifiedBy>mpalmer</cp:lastModifiedBy>
  <cp:lastPrinted>2000-07-11T13:38:00Z</cp:lastPrinted>
  <dcterms:modified xsi:type="dcterms:W3CDTF">2000-07-11T16:28:00Z</dcterms:modified>
  <cp:revision>5</cp:revision>
  <dc:subject/>
  <dc:title/>
</cp:coreProperties>
</file>