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60" w:after="0"/>
        <w:ind w:hanging="0" w:start="0"/>
        <w:rPr>
          <w:rFonts w:ascii="Times New Roman" w:hAnsi="Times New Roman" w:cs="Times New Roman"/>
          <w:sz w:val="20"/>
          <w:u w:val="none"/>
        </w:rPr>
      </w:pPr>
      <w:r>
        <w:rPr>
          <w:rFonts w:cs="Times New Roman" w:ascii="Times New Roman" w:hAnsi="Times New Roman"/>
          <w:sz w:val="20"/>
          <w:u w:val="none"/>
        </w:rPr>
        <w:t>ENRON NORTH AMERICA CORP.</w:t>
      </w:r>
    </w:p>
    <w:p>
      <w:pPr>
        <w:pStyle w:val="Heading1"/>
        <w:spacing w:lineRule="auto" w:line="240" w:before="60" w:after="0"/>
        <w:ind w:hanging="0" w:start="0"/>
        <w:rPr>
          <w:rFonts w:ascii="Times New Roman" w:hAnsi="Times New Roman" w:cs="Times New Roman"/>
          <w:sz w:val="20"/>
        </w:rPr>
      </w:pPr>
      <w:r>
        <w:rPr>
          <w:rFonts w:cs="Times New Roman" w:ascii="Times New Roman" w:hAnsi="Times New Roman"/>
          <w:sz w:val="20"/>
        </w:rPr>
        <w:t>COAL PURCHASE AND SALE</w:t>
      </w:r>
    </w:p>
    <w:p>
      <w:pPr>
        <w:pStyle w:val="Heading1"/>
        <w:spacing w:lineRule="auto" w:line="240" w:before="60" w:after="0"/>
        <w:ind w:hanging="0" w:start="0"/>
        <w:rPr>
          <w:rFonts w:ascii="Times New Roman" w:hAnsi="Times New Roman" w:cs="Times New Roman"/>
          <w:sz w:val="20"/>
        </w:rPr>
      </w:pPr>
      <w:r>
        <w:rPr>
          <w:rFonts w:cs="Times New Roman" w:ascii="Times New Roman" w:hAnsi="Times New Roman"/>
          <w:sz w:val="20"/>
        </w:rPr>
        <w:t>GENERAL TERMS AND CONDITIONS</w:t>
      </w:r>
    </w:p>
    <w:p>
      <w:pPr>
        <w:pStyle w:val="Header"/>
        <w:tabs>
          <w:tab w:val="clear" w:pos="4320"/>
          <w:tab w:val="clear" w:pos="8640"/>
        </w:tabs>
        <w:spacing w:before="60" w:after="0"/>
        <w:rPr>
          <w:rFonts w:ascii="Times New Roman" w:hAnsi="Times New Roman" w:cs="Times New Roman"/>
          <w:sz w:val="20"/>
        </w:rPr>
      </w:pPr>
      <w:r>
        <w:rPr>
          <w:rFonts w:cs="Times New Roman"/>
          <w:sz w:val="20"/>
        </w:rPr>
      </w:r>
    </w:p>
    <w:p>
      <w:pPr>
        <w:pStyle w:val="Normal"/>
        <w:tabs>
          <w:tab w:val="clear" w:pos="720"/>
          <w:tab w:val="left" w:pos="-720" w:leader="none"/>
        </w:tabs>
        <w:suppressAutoHyphens w:val="true"/>
        <w:spacing w:before="60" w:after="0"/>
        <w:jc w:val="both"/>
        <w:rPr/>
      </w:pPr>
      <w:r>
        <w:rPr>
          <w:b/>
          <w:sz w:val="20"/>
        </w:rPr>
        <w:t>1.1  TRANSACTION PROCEDURE.</w:t>
      </w:r>
      <w:r>
        <w:rPr>
          <w:sz w:val="20"/>
        </w:rPr>
        <w:t xml:space="preserve"> The term "Transaction" refers to any agreement for the purchase or sale of Coal between Enron North America Corp. (“ENA”) and the "Counterparty" (the party other than ENA) (each a "Party"), entered into pursuant to these General Terms and Conditions.  The special terms and conditions of a particular Transaction for the sale or purchase of Coal, including but not limited to, the descriptions of payment terms, price, quantity/tolerance, specifications, delivery location and delivery schedule shall be as set forth on this website ("Special Terms and Conditions").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"this Agreement" means the Special Terms and Conditions evidencing a particular Transaction in issue, of which these General Terms and Conditions are a part.  All capitalized terms used herein which are not defined herein shall have the meanings given to them in the Special Terms and Conditions or any written confirmation relating to the Transaction. The term "Seller" shall mean the Party agreeing to sell and deliver Coal to Buyer, and the term "Buyer" shall mean the Party agreeing to purchase and receive Coal from Seller.  </w:t>
      </w:r>
    </w:p>
    <w:p>
      <w:pPr>
        <w:pStyle w:val="Normal"/>
        <w:tabs>
          <w:tab w:val="clear" w:pos="720"/>
          <w:tab w:val="left" w:pos="-720" w:leader="none"/>
          <w:tab w:val="left" w:pos="8640" w:leader="none"/>
        </w:tabs>
        <w:suppressAutoHyphens w:val="true"/>
        <w:spacing w:before="60" w:after="0"/>
        <w:jc w:val="both"/>
        <w:rPr/>
      </w:pPr>
      <w:r>
        <w:rPr>
          <w:b/>
          <w:sz w:val="20"/>
        </w:rPr>
        <w:t xml:space="preserve">1.2  </w:t>
      </w:r>
      <w:r>
        <w:rPr>
          <w:sz w:val="20"/>
        </w:rPr>
        <w:t>A Transaction will be initiated by Counterparty offering to buy or sell Coal by clicking on the designated boxes on this website.  This website is not, and shall not be construed as, an offer to buy or sell by ENA.  ENA may accept or reject Counterparty’s offer at its sole discretion.  A Transaction shall be deemed executed at the time that ENA first signifies its acceptance of Counterparty’s offer, accessible on this website.  ENA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 xml:space="preserve"> </w:t>
      </w:r>
      <w:r>
        <w:rPr>
          <w:b/>
          <w:sz w:val="20"/>
        </w:rPr>
        <w:t>SOURCE AND DELIVERY POINT</w:t>
      </w:r>
      <w:r>
        <w:rPr>
          <w:sz w:val="20"/>
        </w:rPr>
        <w:t>. Source of the coal (“Source”) and delivery point thereof (“Delivery Point”) shall be as follows: (PRB) (8400 Btu/lb.) and (8800 Btu/lb.): Source: Any mine (except the Jacobs Ranch Mine as to the 8800 Btu coal) located in the Powder River Basin of the State of Wyoming and located on the Joint Line served by the Burlington Northern Santa Fe Railway or the Union Pacific Railroad and capable of producing coal which will meet the quality specifications set forth below.  Delivery Point shall be FOB railcar at such mine.  (NYMEX Look-a-Like): Source of the coal shall be any mine capable of producing coal which  meets the quality specifications set forth below.  Delivery Point shall be FOB barge at a delivery facility on the Ohio River between milepost 306 to 317 or the Big Sandy River.  (CSX Compliance): Source of coal shall be any mine capable of producing coal which meets the quality specifications set forth below.  Delivery Point shall be FOB railcar in either the CSX-Big Sandy, CSX-Kanawha, or CSK-Logan rail districts, based on a four hour, 90+ car loadout.</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PRICE</w:t>
      </w:r>
      <w:r>
        <w:rPr>
          <w:sz w:val="20"/>
        </w:rPr>
        <w:t>.  (PRB) (8400 Btu/lb.),(8800 Btu/lb.) and (CSX Compliance): The price quoted is FOB railcar at the Delivery Point.  (NYMEX Look-a-Like): The price quoted is FOB barge at the Delivery Point.  There will be a discount of $0.004 per mmBtu for any delivery to a terminal on the Big Sandy River.</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QUALITY SPECIFICATIONS</w:t>
      </w:r>
      <w:r>
        <w:rPr>
          <w:sz w:val="20"/>
        </w:rPr>
        <w:t>.  Coal shall meet the following standard characteristics on an as-received basis as determined in accordance with ASTM Standards (“Standards”) and not trigger any one of the Rejection Limits. The Coal shall be crushed, substantially free of extraneous material affecting coal quality, entirely free of synthetic fuels and with no intermediate sizes to be added or removed.</w:t>
      </w:r>
    </w:p>
    <w:p>
      <w:pPr>
        <w:pStyle w:val="Heading7"/>
        <w:spacing w:before="60" w:after="0"/>
        <w:ind w:hanging="0" w:start="0"/>
        <w:rPr>
          <w:u w:val="single"/>
        </w:rPr>
      </w:pPr>
      <w:r>
        <w:rPr>
          <w:u w:val="single"/>
        </w:rPr>
        <w:t>NYMEX LOOK-A-LIKE</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Characteristic</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Standard</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Rejection Limit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Btu’s/lb.</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12,000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11,750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Moisture</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Volatile Matter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Grindability (Hardgrove Index)</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41</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38</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Sizing</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 top size nominal, with a maximum of 55% passing ¼”square wire cloth sieve or smaller to be determined on the basis of the primary cutter of the mechanical sampling system</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A maximum of 55% passing ¼”square wire cloth sieve or smaller to be determined on the basis of the primary cutter of the mechanical sampling system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Ash Content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Sulfur</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1.00%</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1.05%</w:t>
            </w:r>
          </w:p>
        </w:tc>
      </w:tr>
    </w:tbl>
    <w:p>
      <w:pPr>
        <w:pStyle w:val="Normal"/>
        <w:tabs>
          <w:tab w:val="clear" w:pos="720"/>
          <w:tab w:val="left" w:pos="-720" w:leader="none"/>
          <w:tab w:val="left" w:pos="8640" w:leader="none"/>
        </w:tabs>
        <w:suppressAutoHyphens w:val="true"/>
        <w:spacing w:before="60" w:after="0"/>
        <w:jc w:val="both"/>
        <w:rPr>
          <w:sz w:val="20"/>
        </w:rPr>
      </w:pPr>
      <w:r>
        <w:rPr>
          <w:sz w:val="20"/>
        </w:rPr>
      </w:r>
    </w:p>
    <w:p>
      <w:pPr>
        <w:pStyle w:val="Heading7"/>
        <w:spacing w:before="60" w:after="0"/>
        <w:ind w:hanging="0" w:start="0"/>
        <w:rPr>
          <w:u w:val="single"/>
        </w:rPr>
      </w:pPr>
      <w:r>
        <w:rPr>
          <w:u w:val="single"/>
        </w:rPr>
        <w:t>CSX Compliance</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Characteristic</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Standard</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Rejection Limit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Btu’s/lb.</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12,500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12,200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Moisture</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7%</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9%</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Volatile Matter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28%</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Grindability (Hardgrove Index)</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43</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Sizing</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2”x0” with a maximum of 50% less than ¼”</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2”x0” with a maximum of 55% less than ¼”</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Ash Content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SO2</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1.20 lbs / mmBtu</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1.20 lbs / mmBtu</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Initial Fusion Temperature</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2600 F</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N/A</w:t>
            </w:r>
          </w:p>
        </w:tc>
      </w:tr>
    </w:tbl>
    <w:p>
      <w:pPr>
        <w:pStyle w:val="Normal"/>
        <w:tabs>
          <w:tab w:val="clear" w:pos="720"/>
          <w:tab w:val="left" w:pos="-720" w:leader="none"/>
          <w:tab w:val="left" w:pos="8640" w:leader="none"/>
        </w:tabs>
        <w:suppressAutoHyphens w:val="true"/>
        <w:spacing w:before="60" w:after="0"/>
        <w:jc w:val="both"/>
        <w:rPr>
          <w:sz w:val="20"/>
        </w:rPr>
      </w:pPr>
      <w:r>
        <w:rPr>
          <w:sz w:val="20"/>
        </w:rPr>
      </w:r>
    </w:p>
    <w:p>
      <w:pPr>
        <w:pStyle w:val="Heading7"/>
        <w:spacing w:before="60" w:after="0"/>
        <w:ind w:hanging="0" w:start="0"/>
        <w:rPr/>
      </w:pPr>
      <w:r>
        <w:rPr/>
        <w:t>PRB 8400</w:t>
      </w:r>
    </w:p>
    <w:tbl>
      <w:tblPr>
        <w:tblW w:w="9558" w:type="dxa"/>
        <w:jc w:val="start"/>
        <w:tblInd w:w="0" w:type="dxa"/>
        <w:tblLayout w:type="fixed"/>
        <w:tblCellMar>
          <w:top w:w="0" w:type="dxa"/>
          <w:start w:w="108" w:type="dxa"/>
          <w:bottom w:w="0" w:type="dxa"/>
          <w:end w:w="108" w:type="dxa"/>
        </w:tblCellMar>
      </w:tblPr>
      <w:tblGrid>
        <w:gridCol w:w="3168"/>
        <w:gridCol w:w="3240"/>
        <w:gridCol w:w="315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Characteristic:</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Standard:</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Rejection Limit: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Btu/lb:</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8400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8200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Moisture:</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30.00%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Ash:</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6.50%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rHeight w:val="261"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SO2:</w:t>
            </w:r>
          </w:p>
        </w:tc>
        <w:tc>
          <w:tcPr>
            <w:tcW w:w="32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0.80 lbs / mmBtu</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1.20 lbs / mmBtu</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Sodium</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1.50%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N/A</w:t>
            </w:r>
          </w:p>
        </w:tc>
      </w:tr>
    </w:tbl>
    <w:p>
      <w:pPr>
        <w:pStyle w:val="Normal"/>
        <w:tabs>
          <w:tab w:val="clear" w:pos="720"/>
          <w:tab w:val="left" w:pos="-720" w:leader="none"/>
          <w:tab w:val="left" w:pos="8640" w:leader="none"/>
        </w:tabs>
        <w:suppressAutoHyphens w:val="true"/>
        <w:spacing w:before="60" w:after="0"/>
        <w:jc w:val="center"/>
        <w:rPr>
          <w:sz w:val="20"/>
        </w:rPr>
      </w:pPr>
      <w:r>
        <w:rPr>
          <w:sz w:val="20"/>
        </w:rPr>
      </w:r>
    </w:p>
    <w:p>
      <w:pPr>
        <w:pStyle w:val="Normal"/>
        <w:tabs>
          <w:tab w:val="clear" w:pos="720"/>
          <w:tab w:val="left" w:pos="-720" w:leader="none"/>
          <w:tab w:val="left" w:pos="8640" w:leader="none"/>
        </w:tabs>
        <w:suppressAutoHyphens w:val="true"/>
        <w:spacing w:before="60" w:after="0"/>
        <w:jc w:val="center"/>
        <w:rPr/>
      </w:pPr>
      <w:r>
        <w:rPr/>
        <w:t>PRB 8800</w:t>
      </w:r>
    </w:p>
    <w:tbl>
      <w:tblPr>
        <w:tblW w:w="9558" w:type="dxa"/>
        <w:jc w:val="start"/>
        <w:tblInd w:w="0" w:type="dxa"/>
        <w:tblLayout w:type="fixed"/>
        <w:tblCellMar>
          <w:top w:w="0" w:type="dxa"/>
          <w:start w:w="108" w:type="dxa"/>
          <w:bottom w:w="0" w:type="dxa"/>
          <w:end w:w="108" w:type="dxa"/>
        </w:tblCellMar>
      </w:tblPr>
      <w:tblGrid>
        <w:gridCol w:w="3168"/>
        <w:gridCol w:w="3240"/>
        <w:gridCol w:w="315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Characteristic:</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Standard:</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Rejection Limit: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Btu/lb:</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8800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8600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Moisture:</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27.00%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Ash:</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5.50%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rHeight w:val="261"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SO2:</w:t>
            </w:r>
          </w:p>
        </w:tc>
        <w:tc>
          <w:tcPr>
            <w:tcW w:w="32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0.80 lbs / mmBtu</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1.20 lbs / mmBtu</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Sodium</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1.50%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N/A</w:t>
            </w:r>
          </w:p>
        </w:tc>
      </w:tr>
    </w:tbl>
    <w:p>
      <w:pPr>
        <w:pStyle w:val="Normal"/>
        <w:tabs>
          <w:tab w:val="clear" w:pos="720"/>
          <w:tab w:val="left" w:pos="-720" w:leader="none"/>
          <w:tab w:val="left" w:pos="8640" w:leader="none"/>
        </w:tabs>
        <w:suppressAutoHyphens w:val="true"/>
        <w:spacing w:before="60" w:after="0"/>
        <w:jc w:val="center"/>
        <w:rPr>
          <w:sz w:val="20"/>
        </w:rPr>
      </w:pPr>
      <w:r>
        <w:rPr>
          <w:sz w:val="20"/>
        </w:rPr>
      </w:r>
    </w:p>
    <w:p>
      <w:pPr>
        <w:pStyle w:val="Normal"/>
        <w:tabs>
          <w:tab w:val="clear" w:pos="720"/>
          <w:tab w:val="left" w:pos="-720" w:leader="none"/>
        </w:tabs>
        <w:suppressAutoHyphens w:val="true"/>
        <w:spacing w:before="60" w:after="0"/>
        <w:jc w:val="both"/>
        <w:rPr/>
      </w:pPr>
      <w:r>
        <w:rPr>
          <w:b/>
          <w:sz w:val="20"/>
        </w:rPr>
        <w:t xml:space="preserve">5.  TERM/SCHEDULING.  </w:t>
      </w:r>
      <w:r>
        <w:rPr>
          <w:sz w:val="20"/>
        </w:rPr>
        <w:t>(PRB) Unit trains to be loaded during the Term as directed by Buyer upon at least 2 days prior notice from Buyer with respect to each Shipment, in approximately equal monthly amounts.  Seller must nominate the Source Mine at least 20 days prior to the first day of the delivery month.  (NYMEX Look-a-Like) and (CSX Compliance):  The delivery period shall begin no earlier than the first day of the delivery month and at least seven days before the end of the month; delivery to be completed by the last day of the delivery month.</w:t>
      </w:r>
    </w:p>
    <w:p>
      <w:pPr>
        <w:pStyle w:val="Normal"/>
        <w:tabs>
          <w:tab w:val="clear" w:pos="720"/>
          <w:tab w:val="left" w:pos="-720" w:leader="none"/>
        </w:tabs>
        <w:suppressAutoHyphens w:val="true"/>
        <w:spacing w:before="60" w:after="0"/>
        <w:jc w:val="both"/>
        <w:rPr>
          <w:b/>
          <w:sz w:val="20"/>
        </w:rPr>
      </w:pPr>
      <w:r>
        <w:rPr>
          <w:b/>
          <w:sz w:val="20"/>
        </w:rPr>
        <w:t xml:space="preserve">6. REJECTION RIGHTS.  </w:t>
      </w:r>
      <w:r>
        <w:rPr>
          <w:sz w:val="20"/>
        </w:rPr>
        <w:t>On no</w:t>
      </w:r>
      <w:r>
        <w:rPr>
          <w:b/>
          <w:sz w:val="20"/>
        </w:rPr>
        <w:t xml:space="preserve"> </w:t>
      </w:r>
      <w:r>
        <w:rPr>
          <w:sz w:val="20"/>
        </w:rPr>
        <w:t xml:space="preserve">more than one business day’s </w:t>
      </w:r>
      <w:r>
        <w:rPr>
          <w:color w:val="000000"/>
          <w:sz w:val="20"/>
        </w:rPr>
        <w:t xml:space="preserve">(defined as any day on which Federal Reserve member banks in New York City are open for business) </w:t>
      </w:r>
      <w:r>
        <w:rPr>
          <w:sz w:val="20"/>
        </w:rPr>
        <w:t>notice to Seller after Buyer’s receipt of</w:t>
      </w:r>
      <w:r>
        <w:rPr>
          <w:b/>
          <w:sz w:val="20"/>
        </w:rPr>
        <w:t xml:space="preserve"> </w:t>
      </w:r>
      <w:r>
        <w:rPr>
          <w:sz w:val="20"/>
        </w:rPr>
        <w:t>the analysis provided for in Section 8, Buyer may reject any Shipment that triggers any one of the Rejection Limits, determined in accordance with Standards.  Disposal of Coal that triggers the Rejection Limits and is rejected by Buyer shall be for Seller’s account. Buyer and Seller shall cooperate to minimize Seller’s cost of disposal.</w:t>
      </w:r>
    </w:p>
    <w:p>
      <w:pPr>
        <w:pStyle w:val="BodyText"/>
        <w:spacing w:before="60" w:after="0"/>
        <w:rPr/>
      </w:pPr>
      <w:r>
        <w:rPr>
          <w:rFonts w:cs="Times New Roman" w:ascii="Times New Roman" w:hAnsi="Times New Roman"/>
          <w:b/>
          <w:sz w:val="20"/>
        </w:rPr>
        <w:t>7. CALORIFIC VALUE AND SO</w:t>
      </w:r>
      <w:r>
        <w:rPr>
          <w:rFonts w:cs="Times New Roman" w:ascii="Times New Roman" w:hAnsi="Times New Roman"/>
          <w:b/>
          <w:sz w:val="20"/>
          <w:vertAlign w:val="subscript"/>
        </w:rPr>
        <w:t>2</w:t>
      </w:r>
      <w:r>
        <w:rPr>
          <w:rFonts w:cs="Times New Roman" w:ascii="Times New Roman" w:hAnsi="Times New Roman"/>
          <w:b/>
          <w:sz w:val="20"/>
        </w:rPr>
        <w:t xml:space="preserve"> ADJUSTMENTS.  </w:t>
      </w:r>
      <w:r>
        <w:rPr>
          <w:rFonts w:cs="Times New Roman" w:ascii="Times New Roman" w:hAnsi="Times New Roman"/>
          <w:sz w:val="20"/>
        </w:rPr>
        <w:t>(PRB),(NYMEX Look-a-Like) and (CSX Compliance):If it is determined that the weighted average actual (“as-received” basis) calorific value (“Actual Btu/lb.”) of any Shipment accepted by Buyer is other than the number of Btu/lb. specified in this Agreement for standard Btu/lb. (“Standard Btu/lb.”), but is not less than the Rejection Limit for Btu/lb., Seller shall calculate a calorific price adjustment as follows:</w:t>
      </w:r>
    </w:p>
    <w:p>
      <w:pPr>
        <w:pStyle w:val="Normal"/>
        <w:tabs>
          <w:tab w:val="clear" w:pos="720"/>
          <w:tab w:val="left" w:pos="-720" w:leader="none"/>
        </w:tabs>
        <w:suppressAutoHyphens w:val="true"/>
        <w:spacing w:before="60" w:after="0"/>
        <w:jc w:val="both"/>
        <w:rPr/>
      </w:pPr>
      <w:r>
        <w:rPr>
          <w:sz w:val="20"/>
        </w:rPr>
        <w:tab/>
        <w:tab/>
        <w:t xml:space="preserve">Price x </w:t>
      </w:r>
      <w:r>
        <w:rPr>
          <w:sz w:val="20"/>
          <w:u w:val="single"/>
        </w:rPr>
        <w:t>[(Actual Btu/lb. – Standard Btu/lb.)/Standard Btu/lb.]</w:t>
      </w:r>
    </w:p>
    <w:p>
      <w:pPr>
        <w:pStyle w:val="Norma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u w:val="single"/>
        </w:rPr>
        <w:t xml:space="preserve">(PRB only) </w:t>
      </w:r>
      <w:r>
        <w:rPr>
          <w:sz w:val="20"/>
        </w:rPr>
        <w:t>If it is determined that the weighted average pounds of SO</w:t>
      </w:r>
      <w:r>
        <w:rPr>
          <w:sz w:val="20"/>
          <w:vertAlign w:val="subscript"/>
        </w:rPr>
        <w:t>2</w:t>
      </w:r>
      <w:r>
        <w:rPr>
          <w:sz w:val="20"/>
        </w:rPr>
        <w:t xml:space="preserve"> per million Btu ("</w:t>
      </w:r>
      <w:r>
        <w:rPr>
          <w:sz w:val="20"/>
          <w:u w:val="single"/>
        </w:rPr>
        <w:t>lbs SO</w:t>
      </w:r>
      <w:r>
        <w:rPr>
          <w:sz w:val="20"/>
          <w:u w:val="single"/>
          <w:vertAlign w:val="subscript"/>
        </w:rPr>
        <w:t>2</w:t>
      </w:r>
      <w:r>
        <w:rPr>
          <w:sz w:val="20"/>
          <w:u w:val="single"/>
        </w:rPr>
        <w:t>/mmBtu</w:t>
      </w:r>
      <w:r>
        <w:rPr>
          <w:sz w:val="20"/>
        </w:rPr>
        <w:t>") on an as-received basis of any Shipment accepted by Buyer is other than 0.80 lbs SO</w:t>
      </w:r>
      <w:r>
        <w:rPr>
          <w:sz w:val="20"/>
          <w:vertAlign w:val="subscript"/>
        </w:rPr>
        <w:t>2</w:t>
      </w:r>
      <w:r>
        <w:rPr>
          <w:sz w:val="20"/>
        </w:rPr>
        <w:t>/mmBtu , Buyer shall calculate a premium or penalty based on the relevant number of SO</w:t>
      </w:r>
      <w:r>
        <w:rPr>
          <w:sz w:val="20"/>
          <w:vertAlign w:val="subscript"/>
        </w:rPr>
        <w:t>2</w:t>
      </w:r>
      <w:r>
        <w:rPr>
          <w:sz w:val="20"/>
        </w:rPr>
        <w:t xml:space="preserve"> Allowances (defined below) for each Shipment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rPr>
          <w:sz w:val="20"/>
        </w:rPr>
      </w:pPr>
      <w:r>
        <w:rPr>
          <w:sz w:val="20"/>
        </w:rPr>
        <w:tab/>
        <w:t xml:space="preserve"> </w:t>
      </w:r>
    </w:p>
    <w:p>
      <w:pPr>
        <w:pStyle w:val="Normal"/>
        <w:spacing w:before="60" w:after="0"/>
        <w:ind w:start="-720" w:end="-720"/>
        <w:rPr/>
      </w:pPr>
      <w:r>
        <w:rPr>
          <w:sz w:val="20"/>
        </w:rPr>
        <w:tab/>
        <w:tab/>
        <w:t xml:space="preserve">Price Adjustment ($/ton of Coal) = </w:t>
      </w:r>
      <w:r>
        <w:rPr>
          <w:sz w:val="20"/>
          <w:u w:val="single"/>
        </w:rPr>
        <w:t>(.80lbs SO</w:t>
      </w:r>
      <w:r>
        <w:rPr>
          <w:sz w:val="20"/>
          <w:u w:val="single"/>
          <w:vertAlign w:val="subscript"/>
        </w:rPr>
        <w:t>2</w:t>
      </w:r>
      <w:r>
        <w:rPr>
          <w:sz w:val="20"/>
          <w:u w:val="single"/>
        </w:rPr>
        <w:t>/mmBtu – Actual lbs SO</w:t>
      </w:r>
      <w:r>
        <w:rPr>
          <w:sz w:val="20"/>
          <w:u w:val="single"/>
          <w:vertAlign w:val="subscript"/>
        </w:rPr>
        <w:t>2</w:t>
      </w:r>
      <w:r>
        <w:rPr>
          <w:sz w:val="20"/>
          <w:u w:val="single"/>
        </w:rPr>
        <w:t>/mmBtu) * Actual Btu/lb * E</w:t>
      </w:r>
    </w:p>
    <w:p>
      <w:pPr>
        <w:pStyle w:val="Normal"/>
        <w:spacing w:before="60" w:after="0"/>
        <w:ind w:start="-180" w:end="-720"/>
        <w:rPr>
          <w:sz w:val="20"/>
        </w:rPr>
      </w:pPr>
      <w:r>
        <w:rPr>
          <w:sz w:val="20"/>
        </w:rPr>
        <w:tab/>
        <w:tab/>
        <w:tab/>
        <w:tab/>
        <w:tab/>
        <w:tab/>
        <w:tab/>
        <w:tab/>
        <w:tab/>
        <w:t>1,000,000</w:t>
      </w:r>
    </w:p>
    <w:p>
      <w:pPr>
        <w:pStyle w:val="Normal"/>
        <w:spacing w:before="60" w:after="0"/>
        <w:ind w:start="720" w:end="-720"/>
        <w:rPr/>
      </w:pPr>
      <w:r>
        <w:rPr>
          <w:sz w:val="20"/>
        </w:rPr>
        <w:t>Where E is the average price of SO</w:t>
      </w:r>
      <w:r>
        <w:rPr>
          <w:sz w:val="20"/>
          <w:vertAlign w:val="subscript"/>
        </w:rPr>
        <w:t>2</w:t>
      </w:r>
      <w:r>
        <w:rPr>
          <w:sz w:val="20"/>
        </w:rPr>
        <w:t xml:space="preserve"> allowances expressed in dollars per ton of SO</w:t>
      </w:r>
      <w:r>
        <w:rPr>
          <w:sz w:val="20"/>
          <w:vertAlign w:val="subscript"/>
        </w:rPr>
        <w:t>2</w:t>
      </w:r>
      <w:r>
        <w:rPr>
          <w:sz w:val="20"/>
        </w:rPr>
        <w:t>. The average price of SO</w:t>
      </w:r>
      <w:r>
        <w:rPr>
          <w:sz w:val="20"/>
          <w:vertAlign w:val="subscript"/>
        </w:rPr>
        <w:t>2</w:t>
      </w:r>
      <w:r>
        <w:rPr>
          <w:sz w:val="20"/>
        </w:rPr>
        <w:t xml:space="preserve"> allowances is determined by the sum of the monthly SO</w:t>
      </w:r>
      <w:r>
        <w:rPr>
          <w:sz w:val="20"/>
          <w:vertAlign w:val="subscript"/>
        </w:rPr>
        <w:t>2</w:t>
      </w:r>
      <w:r>
        <w:rPr>
          <w:sz w:val="20"/>
        </w:rPr>
        <w:t xml:space="preserve"> price indices published in </w:t>
      </w:r>
      <w:r>
        <w:rPr>
          <w:sz w:val="20"/>
          <w:u w:val="single"/>
        </w:rPr>
        <w:t>Air Daily</w:t>
      </w:r>
      <w:r>
        <w:rPr>
          <w:sz w:val="20"/>
        </w:rPr>
        <w:t xml:space="preserve"> during such calendar month of delivery, divided by the number of Air Daily price indices published during such month.</w:t>
      </w:r>
    </w:p>
    <w:p>
      <w:pPr>
        <w:pStyle w:val="Normal"/>
        <w:spacing w:before="60" w:after="0"/>
        <w:ind w:end="-720"/>
        <w:rPr/>
      </w:pPr>
      <w:r>
        <w:rPr>
          <w:sz w:val="20"/>
        </w:rPr>
        <w:t>In lieu of a financial SO</w:t>
      </w:r>
      <w:r>
        <w:rPr>
          <w:sz w:val="20"/>
          <w:vertAlign w:val="subscript"/>
        </w:rPr>
        <w:t>2</w:t>
      </w:r>
      <w:r>
        <w:rPr>
          <w:sz w:val="20"/>
        </w:rPr>
        <w:t xml:space="preserve"> adjustment, Buyer and Seller may exchange SO</w:t>
      </w:r>
      <w:r>
        <w:rPr>
          <w:sz w:val="20"/>
          <w:vertAlign w:val="subscript"/>
        </w:rPr>
        <w:t>2</w:t>
      </w:r>
      <w:r>
        <w:rPr>
          <w:sz w:val="20"/>
        </w:rPr>
        <w:t xml:space="preserve"> allowances as determined by the following formula:</w:t>
      </w:r>
    </w:p>
    <w:p>
      <w:pPr>
        <w:pStyle w:val="Normal"/>
        <w:spacing w:before="60" w:after="0"/>
        <w:ind w:start="-720" w:end="-720"/>
        <w:rPr>
          <w:sz w:val="20"/>
        </w:rPr>
      </w:pPr>
      <w:r>
        <w:rPr>
          <w:sz w:val="20"/>
        </w:rPr>
        <w:tab/>
        <w:tab/>
        <w:t xml:space="preserve">Number of Allowances = </w:t>
      </w:r>
      <w:r>
        <w:rPr>
          <w:sz w:val="20"/>
          <w:u w:val="single"/>
        </w:rPr>
        <w:t>(.80lbs SO</w:t>
      </w:r>
      <w:r>
        <w:rPr>
          <w:sz w:val="20"/>
          <w:u w:val="single"/>
          <w:vertAlign w:val="subscript"/>
        </w:rPr>
        <w:t>2</w:t>
      </w:r>
      <w:r>
        <w:rPr>
          <w:sz w:val="20"/>
          <w:u w:val="single"/>
        </w:rPr>
        <w:t>/mmBtu – Actual lbs SO</w:t>
      </w:r>
      <w:r>
        <w:rPr>
          <w:sz w:val="20"/>
          <w:u w:val="single"/>
          <w:vertAlign w:val="subscript"/>
        </w:rPr>
        <w:t>2</w:t>
      </w:r>
      <w:r>
        <w:rPr>
          <w:sz w:val="20"/>
          <w:u w:val="single"/>
        </w:rPr>
        <w:t>/mmBtu * Actual Btu/lb * Tons of Coal</w:t>
      </w:r>
    </w:p>
    <w:p>
      <w:pPr>
        <w:pStyle w:val="Normal"/>
        <w:spacing w:before="60" w:after="0"/>
        <w:ind w:start="-720" w:end="-720"/>
        <w:rPr>
          <w:sz w:val="20"/>
        </w:rPr>
      </w:pPr>
      <w:r>
        <w:rPr>
          <w:sz w:val="20"/>
        </w:rPr>
        <w:tab/>
        <w:tab/>
        <w:tab/>
        <w:tab/>
        <w:tab/>
        <w:tab/>
        <w:tab/>
        <w:tab/>
        <w:t>1,000,000</w:t>
      </w:r>
    </w:p>
    <w:p>
      <w:pPr>
        <w:pStyle w:val="Normal"/>
        <w:tabs>
          <w:tab w:val="clear" w:pos="720"/>
          <w:tab w:val="left" w:pos="-1080" w:leader="none"/>
          <w:tab w:val="left" w:pos="-720" w:leader="none"/>
          <w:tab w:val="left" w:pos="0" w:leader="none"/>
          <w:tab w:val="left" w:pos="9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If the product of the above is negative, Buyer shall transfer SO</w:t>
      </w:r>
      <w:r>
        <w:rPr>
          <w:sz w:val="20"/>
          <w:vertAlign w:val="subscript"/>
        </w:rPr>
        <w:t>2</w:t>
      </w:r>
      <w:r>
        <w:rPr>
          <w:sz w:val="20"/>
        </w:rPr>
        <w:t xml:space="preserve"> Allowances to Seller, and if the product of the above is positive, Seller shall transfer SO</w:t>
      </w:r>
      <w:r>
        <w:rPr>
          <w:sz w:val="20"/>
          <w:vertAlign w:val="subscript"/>
        </w:rPr>
        <w:t>2</w:t>
      </w:r>
      <w:r>
        <w:rPr>
          <w:sz w:val="20"/>
        </w:rPr>
        <w:t xml:space="preserve"> Allowances to Buyer. SO</w:t>
      </w:r>
      <w:r>
        <w:rPr>
          <w:sz w:val="20"/>
          <w:vertAlign w:val="subscript"/>
        </w:rPr>
        <w:t xml:space="preserve">2 </w:t>
      </w:r>
      <w:r>
        <w:rPr>
          <w:sz w:val="20"/>
        </w:rPr>
        <w:t>Allowances due to Buyer or Seller hereunder shall be transferred to such Party on a calendar quarter basis.  Fractional SO</w:t>
      </w:r>
      <w:r>
        <w:rPr>
          <w:sz w:val="20"/>
          <w:vertAlign w:val="subscript"/>
        </w:rPr>
        <w:t xml:space="preserve">2 </w:t>
      </w:r>
      <w:r>
        <w:rPr>
          <w:sz w:val="20"/>
        </w:rPr>
        <w:t>Allowances resulting from the quarterly calculations shall be rounded to the nearest whole SO</w:t>
      </w:r>
      <w:r>
        <w:rPr>
          <w:sz w:val="20"/>
          <w:vertAlign w:val="subscript"/>
        </w:rPr>
        <w:t xml:space="preserve">2 </w:t>
      </w:r>
      <w:r>
        <w:rPr>
          <w:sz w:val="20"/>
        </w:rPr>
        <w:t>Allowance.</w:t>
      </w:r>
    </w:p>
    <w:p>
      <w:pPr>
        <w:pStyle w:val="Normal"/>
        <w:spacing w:before="60" w:after="0"/>
        <w:ind w:end="-720"/>
        <w:rPr/>
      </w:pPr>
      <w:r>
        <w:rPr>
          <w:sz w:val="20"/>
        </w:rPr>
        <w:t>The party owed an SO</w:t>
      </w:r>
      <w:r>
        <w:rPr>
          <w:sz w:val="20"/>
          <w:vertAlign w:val="subscript"/>
        </w:rPr>
        <w:t>2</w:t>
      </w:r>
      <w:r>
        <w:rPr>
          <w:sz w:val="20"/>
        </w:rPr>
        <w:t xml:space="preserve"> adjustment shall dictate which method of SO2 adjustment applies. </w:t>
      </w:r>
    </w:p>
    <w:p>
      <w:pPr>
        <w:pStyle w:val="Normal"/>
        <w:spacing w:before="60" w:after="0"/>
        <w:ind w:end="-720"/>
        <w:rPr>
          <w:sz w:val="20"/>
        </w:rPr>
      </w:pPr>
      <w:r>
        <w:rPr>
          <w:sz w:val="20"/>
        </w:rPr>
        <w:t>Price adjustments shall be made to the nearest $0.001.  Allowances shall be rounded to the nearest whole allowance.</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w:t>
      </w:r>
      <w:r>
        <w:rPr>
          <w:sz w:val="20"/>
          <w:u w:val="single"/>
        </w:rPr>
        <w:t>SO</w:t>
      </w:r>
      <w:r>
        <w:rPr>
          <w:sz w:val="20"/>
          <w:u w:val="single"/>
          <w:vertAlign w:val="subscript"/>
        </w:rPr>
        <w:t>2</w:t>
      </w:r>
      <w:r>
        <w:rPr>
          <w:sz w:val="20"/>
          <w:u w:val="single"/>
        </w:rPr>
        <w:t xml:space="preserve"> Allowance</w:t>
      </w:r>
      <w:r>
        <w:rPr>
          <w:sz w:val="20"/>
        </w:rPr>
        <w:t>” means an authorization by the administrator of the United States Environmental Protection Agency (or its successor) (“</w:t>
      </w:r>
      <w:r>
        <w:rPr>
          <w:sz w:val="20"/>
          <w:u w:val="single"/>
        </w:rPr>
        <w:t>EPA</w:t>
      </w:r>
      <w:r>
        <w:rPr>
          <w:sz w:val="20"/>
        </w:rPr>
        <w:t>”) under Title IV of the Clean Air Act Amendments of 1990 (effective November 15, 1990), any amendments thereto and any regulations promulgated thereunder, to emit one Ton of SO</w:t>
      </w:r>
      <w:r>
        <w:rPr>
          <w:sz w:val="20"/>
          <w:vertAlign w:val="subscript"/>
        </w:rPr>
        <w:t>2</w:t>
      </w:r>
      <w:r>
        <w:rPr>
          <w:sz w:val="20"/>
        </w:rPr>
        <w:t xml:space="preserve"> during the current calendar year.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If the party owed the SO</w:t>
      </w:r>
      <w:r>
        <w:rPr>
          <w:sz w:val="20"/>
          <w:vertAlign w:val="subscript"/>
        </w:rPr>
        <w:t xml:space="preserve">2 </w:t>
      </w:r>
      <w:r>
        <w:rPr>
          <w:sz w:val="20"/>
        </w:rPr>
        <w:t>Allowances (the “SO</w:t>
      </w:r>
      <w:r>
        <w:rPr>
          <w:sz w:val="20"/>
          <w:vertAlign w:val="subscript"/>
        </w:rPr>
        <w:t>2</w:t>
      </w:r>
      <w:r>
        <w:rPr>
          <w:sz w:val="20"/>
        </w:rPr>
        <w:t xml:space="preserve"> Transferee”) requests the transfer of the SO</w:t>
      </w:r>
      <w:r>
        <w:rPr>
          <w:sz w:val="20"/>
          <w:vertAlign w:val="subscript"/>
        </w:rPr>
        <w:t xml:space="preserve">2 </w:t>
      </w:r>
      <w:r>
        <w:rPr>
          <w:sz w:val="20"/>
        </w:rPr>
        <w:t>Allowances, the party owing SO</w:t>
      </w:r>
      <w:r>
        <w:rPr>
          <w:sz w:val="20"/>
          <w:vertAlign w:val="subscript"/>
        </w:rPr>
        <w:t xml:space="preserve">2 </w:t>
      </w:r>
      <w:r>
        <w:rPr>
          <w:sz w:val="20"/>
        </w:rPr>
        <w:t>Allowances (the ”SO</w:t>
      </w:r>
      <w:r>
        <w:rPr>
          <w:sz w:val="20"/>
          <w:vertAlign w:val="subscript"/>
        </w:rPr>
        <w:t>2</w:t>
      </w:r>
      <w:r>
        <w:rPr>
          <w:sz w:val="20"/>
        </w:rPr>
        <w:t xml:space="preserve"> Transferor”) shall deliver a fully executed Allowance Transfer Form (OMB No. 2060-0258) ("</w:t>
      </w:r>
      <w:r>
        <w:rPr>
          <w:sz w:val="20"/>
          <w:u w:val="single"/>
        </w:rPr>
        <w:t>ATF</w:t>
      </w:r>
      <w:r>
        <w:rPr>
          <w:sz w:val="20"/>
        </w:rPr>
        <w:t>") relating to such SO</w:t>
      </w:r>
      <w:r>
        <w:rPr>
          <w:sz w:val="20"/>
          <w:vertAlign w:val="subscript"/>
        </w:rPr>
        <w:t>2</w:t>
      </w:r>
      <w:r>
        <w:rPr>
          <w:sz w:val="20"/>
        </w:rPr>
        <w:t xml:space="preserve"> Allowances to the SO</w:t>
      </w:r>
      <w:r>
        <w:rPr>
          <w:sz w:val="20"/>
          <w:vertAlign w:val="subscript"/>
        </w:rPr>
        <w:t>2</w:t>
      </w:r>
      <w:r>
        <w:rPr>
          <w:sz w:val="20"/>
        </w:rPr>
        <w:t xml:space="preserve"> Transferee.  The SO</w:t>
      </w:r>
      <w:r>
        <w:rPr>
          <w:sz w:val="20"/>
          <w:vertAlign w:val="subscript"/>
        </w:rPr>
        <w:t>2</w:t>
      </w:r>
      <w:r>
        <w:rPr>
          <w:sz w:val="20"/>
        </w:rPr>
        <w:t xml:space="preserve"> Transferee shall promptly cause all appropriate and fully completed SO</w:t>
      </w:r>
      <w:r>
        <w:rPr>
          <w:sz w:val="20"/>
          <w:vertAlign w:val="subscript"/>
        </w:rPr>
        <w:t>2</w:t>
      </w:r>
      <w:r>
        <w:rPr>
          <w:sz w:val="20"/>
        </w:rPr>
        <w:t xml:space="preserve"> Allowance transfer documentation, including the ATF, to be placed on file with the EPA in accordance with the applicable regulations relating to the Allowance Tracking System.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ind w:firstLine="720" w:end="0"/>
        <w:jc w:val="both"/>
        <w:rPr/>
      </w:pPr>
      <w:r>
        <w:rPr>
          <w:sz w:val="20"/>
        </w:rPr>
        <w:t>The SO</w:t>
      </w:r>
      <w:r>
        <w:rPr>
          <w:sz w:val="20"/>
          <w:vertAlign w:val="subscript"/>
        </w:rPr>
        <w:t>2</w:t>
      </w:r>
      <w:r>
        <w:rPr>
          <w:sz w:val="20"/>
        </w:rPr>
        <w:t xml:space="preserve"> Transferor warrants that it will deliver to the SO</w:t>
      </w:r>
      <w:r>
        <w:rPr>
          <w:sz w:val="20"/>
          <w:vertAlign w:val="subscript"/>
        </w:rPr>
        <w:t>2</w:t>
      </w:r>
      <w:r>
        <w:rPr>
          <w:sz w:val="20"/>
        </w:rPr>
        <w:t xml:space="preserve"> Transferee the SO</w:t>
      </w:r>
      <w:r>
        <w:rPr>
          <w:sz w:val="20"/>
          <w:vertAlign w:val="subscript"/>
        </w:rPr>
        <w:t>2</w:t>
      </w:r>
      <w:r>
        <w:rPr>
          <w:sz w:val="20"/>
        </w:rPr>
        <w:t xml:space="preserve"> Allowances, free and clear of all liens, claims, security interests, encumbrances and other defects of title.  </w:t>
      </w:r>
      <w:r>
        <w:rPr>
          <w:smallCaps/>
          <w:sz w:val="20"/>
        </w:rPr>
        <w:t>Each Party expressly negates any other representation or warranty, written or oral, express or implied, including without limitation, any representation or warranty with respect to conformity to models or samples, merchantability, or fitness for any particular purpose</w:t>
      </w:r>
      <w:r>
        <w:rPr>
          <w:sz w:val="20"/>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Each Party shall be responsible for any taxes or other fees associated with its respective delivery and receipt of such SO</w:t>
      </w:r>
      <w:r>
        <w:rPr>
          <w:sz w:val="20"/>
          <w:vertAlign w:val="subscript"/>
        </w:rPr>
        <w:t>2</w:t>
      </w:r>
      <w:r>
        <w:rPr>
          <w:sz w:val="20"/>
        </w:rPr>
        <w:t xml:space="preserve"> Allowances.</w:t>
      </w:r>
    </w:p>
    <w:p>
      <w:pPr>
        <w:pStyle w:val="Normal"/>
        <w:tabs>
          <w:tab w:val="clear" w:pos="720"/>
          <w:tab w:val="left" w:pos="-720" w:leader="none"/>
        </w:tabs>
        <w:suppressAutoHyphens w:val="true"/>
        <w:spacing w:before="60" w:after="0"/>
        <w:jc w:val="both"/>
        <w:rPr>
          <w:b/>
          <w:sz w:val="20"/>
        </w:rPr>
      </w:pPr>
      <w:r>
        <w:rPr>
          <w:b/>
          <w:sz w:val="20"/>
        </w:rPr>
        <w:t xml:space="preserve">8.  SAMPLING AND ANALYSIS. </w:t>
      </w:r>
      <w:r>
        <w:rPr>
          <w:sz w:val="20"/>
        </w:rPr>
        <w:t>Sampling via mechanical sampler for each Shipment shall be performed at the Delivery Point.  (PRB) Analysis shall be performed in accordance with the Standards by an independent commercial laboratory selected by Seller with the cost for such sampling and analysis for Seller’s account.  (NYMEX Look-a-Like) Analysis shall be performed in accordance with the Standards by an independent commercial laboratory jointly selected by Buyer and Seller with the cost for such sampling and analysis for Seller’s account.  Such analysis shall be final and binding and govern for payment.</w:t>
      </w:r>
    </w:p>
    <w:p>
      <w:pPr>
        <w:pStyle w:val="Normal"/>
        <w:tabs>
          <w:tab w:val="clear" w:pos="720"/>
          <w:tab w:val="left" w:pos="-720" w:leader="none"/>
        </w:tabs>
        <w:suppressAutoHyphens w:val="true"/>
        <w:spacing w:before="60" w:after="0"/>
        <w:jc w:val="both"/>
        <w:rPr/>
      </w:pPr>
      <w:r>
        <w:rPr>
          <w:b/>
          <w:sz w:val="20"/>
        </w:rPr>
        <w:t xml:space="preserve">9.  WEIGHING.  </w:t>
      </w:r>
      <w:r>
        <w:rPr>
          <w:sz w:val="20"/>
        </w:rPr>
        <w:t>(PRB) and (CSX Compliance) The weight for each Shipment shall be determined by certified scales at the Source.  The cost of weighing shall be for Seller's account and such weights shall be final and binding and govern for payment.  (NYMEX Look-a-Like) The weight for each Shipment shall be determined by draft survey at the Delivery Point as performed by an independent draft surveyor jointly appointed by Buyer and Seller.  The cost of weighing shall be for Seller's account and such weights shall be final and binding and govern for payment.</w:t>
      </w:r>
    </w:p>
    <w:p>
      <w:pPr>
        <w:pStyle w:val="Normal"/>
        <w:tabs>
          <w:tab w:val="clear" w:pos="720"/>
          <w:tab w:val="left" w:pos="-720" w:leader="none"/>
        </w:tabs>
        <w:suppressAutoHyphens w:val="true"/>
        <w:spacing w:before="60" w:after="0"/>
        <w:jc w:val="both"/>
        <w:rPr>
          <w:sz w:val="20"/>
        </w:rPr>
      </w:pPr>
      <w:r>
        <w:rPr>
          <w:b/>
          <w:sz w:val="20"/>
        </w:rPr>
        <w:t xml:space="preserve">10.  LOADING/ DISCHARGE TERMS.  </w:t>
      </w:r>
      <w:r>
        <w:rPr>
          <w:sz w:val="20"/>
        </w:rPr>
        <w:t xml:space="preserve">(PRB) and (CSX Compliance) Buyer shall designate to Seller the routing by railroad of Shipment of Coal purchased under this Agreement.  Seller shall be obligated to properly load Coal sold hereunder into railcars for delivery to Buyer, provided that Buyer has provided Seller with applicable loading instructions (including minimum and maximum weights) no less than 24 hours prior to the arrival of a unit train and said instructions are in general compliance with industry standards in the Source area for flood and batch loading as applicable.  Seller shall use its reasonable efforts to ship the Coal under the specified delivery schedule and Buyer shall use its reasonable efforts to receive the Coal under the specified delivery schedule and said schedule shall only be varied by mutual consent.  (NYMEX Look-a-Like) In accordance with mutually agreeable terms and conditions, including demurrage and dispatch clauses within reasonable commercial standards typical for the Ohio River milepost 306 to 317 or the Big Sandy River, as applicable to the loading.  Seller shall use its reasonable efforts to ship the Coal under the specified delivery schedule and Buyer shall use its reasonable efforts to receive the Coal under the specified delivery schedule and said schedule shall only be varied by mutual consent. A loading tolerance of the greater of (i) 60 tons or (ii) two percent above or below the total tons to be delivered will be permitted.  The price per ton of any quantity over or below such tolerance will be equal to the </w:t>
      </w:r>
      <w:r>
        <w:rPr>
          <w:color w:val="000000"/>
          <w:sz w:val="20"/>
          <w:lang w:eastAsia="en-US"/>
        </w:rPr>
        <w:t>"Coal Daily's Spot Coal Indices for 12,000 Btu’s, 1.5 lb. Sulfur - W/in 90 days, Barge." for the date(s) on which the barges were loaded.</w:t>
      </w:r>
    </w:p>
    <w:p>
      <w:pPr>
        <w:pStyle w:val="BodyText"/>
        <w:spacing w:before="60" w:after="0"/>
        <w:rPr/>
      </w:pPr>
      <w:r>
        <w:rPr>
          <w:rFonts w:cs="Times New Roman" w:ascii="Times New Roman" w:hAnsi="Times New Roman"/>
          <w:b/>
          <w:sz w:val="20"/>
        </w:rPr>
        <w:t>11.</w:t>
      </w:r>
      <w:r>
        <w:rPr>
          <w:rFonts w:cs="Times New Roman" w:ascii="Times New Roman" w:hAnsi="Times New Roman"/>
          <w:sz w:val="20"/>
        </w:rPr>
        <w:t xml:space="preserve">  </w:t>
      </w:r>
      <w:r>
        <w:rPr>
          <w:rFonts w:cs="Times New Roman" w:ascii="Times New Roman" w:hAnsi="Times New Roman"/>
          <w:b/>
          <w:sz w:val="20"/>
        </w:rPr>
        <w:t>PAYMENT</w:t>
      </w:r>
      <w:r>
        <w:rPr>
          <w:rFonts w:cs="Times New Roman" w:ascii="Times New Roman" w:hAnsi="Times New Roman"/>
          <w:sz w:val="20"/>
        </w:rPr>
        <w:t xml:space="preserve">. (NYMEX Look-a-Like) </w:t>
      </w:r>
      <w:r>
        <w:rPr>
          <w:rFonts w:cs="Times New Roman" w:ascii="Times New Roman" w:hAnsi="Times New Roman"/>
          <w:color w:val="000000"/>
          <w:sz w:val="20"/>
          <w:lang w:eastAsia="en-US"/>
        </w:rPr>
        <w:t xml:space="preserve">Net cash via wire transfer to Seller's designated account on or before the 10th day following receipt of the inspection report to determine the quality and quantity of coal delivered as required in Sampling &amp; Analysis and Weighing above. </w:t>
      </w:r>
      <w:r>
        <w:rPr>
          <w:rFonts w:cs="Times New Roman" w:ascii="Times New Roman" w:hAnsi="Times New Roman"/>
          <w:sz w:val="20"/>
        </w:rPr>
        <w:t xml:space="preserve"> (PRB) and (CSX Compliance) The invoice shall be paid via wire transfer to Seller’s designated account on or before the 10</w:t>
      </w:r>
      <w:r>
        <w:rPr>
          <w:rFonts w:cs="Times New Roman" w:ascii="Times New Roman" w:hAnsi="Times New Roman"/>
          <w:sz w:val="20"/>
          <w:vertAlign w:val="superscript"/>
        </w:rPr>
        <w:t>th</w:t>
      </w:r>
      <w:r>
        <w:rPr>
          <w:rFonts w:cs="Times New Roman" w:ascii="Times New Roman" w:hAnsi="Times New Roman"/>
          <w:sz w:val="20"/>
        </w:rPr>
        <w:t xml:space="preserve"> day following receipt.  Overdue payments shall accrue interest from the due date at the rate of two percent over the prime lending rate as published from time to time in the </w:t>
      </w:r>
      <w:r>
        <w:rPr>
          <w:rFonts w:cs="Times New Roman" w:ascii="Times New Roman" w:hAnsi="Times New Roman"/>
          <w:i/>
          <w:sz w:val="20"/>
        </w:rPr>
        <w:t xml:space="preserve">Wall Street Journal </w:t>
      </w:r>
      <w:r>
        <w:rPr>
          <w:rFonts w:cs="Times New Roman" w:ascii="Times New Roman" w:hAnsi="Times New Roman"/>
          <w:sz w:val="20"/>
        </w:rPr>
        <w:t>(“Interest Rate”), but in no event to exceed the maximum lawful rate. Payment shall be made net cash via wire transfer to Seller's designated account on or before the tenth day following receipt of the Shipment invoice.  If any payment is required to be made to ENA, then it shall be made to:</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Bank of America, N.A.</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For Enron North America Corp.</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ABA Routing #111000012</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Account #375 049 4992</w:t>
      </w:r>
    </w:p>
    <w:p>
      <w:pPr>
        <w:pStyle w:val="Normal"/>
        <w:tabs>
          <w:tab w:val="clear" w:pos="720"/>
          <w:tab w:val="left" w:pos="-720" w:leader="none"/>
        </w:tabs>
        <w:suppressAutoHyphens w:val="true"/>
        <w:spacing w:before="60" w:after="0"/>
        <w:jc w:val="both"/>
        <w:rPr/>
      </w:pPr>
      <w:r>
        <w:rPr>
          <w:b/>
          <w:sz w:val="20"/>
        </w:rPr>
        <w:t>12.  LIMITATION ON WARRANTY</w:t>
      </w:r>
      <w:r>
        <w:rPr>
          <w:sz w:val="20"/>
        </w:rPr>
        <w:t>.  EXCEPT AS EXPRESSLY SET FORTH THIS AGREEMENT, SELLER EXPRESSLY DISCLAIMS ANY OTHER REPRESENTATIONS OR WARRANTIES, WRITTEN OR ORAL, EXPRESS OR IMPLIED, INCLUDING, WITHOUT LIMITATION, ANY WARRANTY WITH RESPECT TO CONFORMITY TO SAMPLES, MERCHANTABILITY, OR FITNESS FOR ANY PARTICULAR PURPOSE.</w:t>
      </w:r>
    </w:p>
    <w:p>
      <w:pPr>
        <w:pStyle w:val="Normal"/>
        <w:tabs>
          <w:tab w:val="clear" w:pos="720"/>
          <w:tab w:val="left" w:pos="-720" w:leader="none"/>
          <w:tab w:val="left" w:pos="630" w:leader="none"/>
        </w:tabs>
        <w:suppressAutoHyphens w:val="true"/>
        <w:spacing w:before="60" w:after="0"/>
        <w:jc w:val="both"/>
        <w:rPr/>
      </w:pPr>
      <w:r>
        <w:rPr>
          <w:b/>
          <w:sz w:val="20"/>
        </w:rPr>
        <w:t>13. FORCE MAJEURE</w:t>
      </w:r>
      <w:r>
        <w:rPr>
          <w:sz w:val="20"/>
        </w:rPr>
        <w:t>.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60 consecutive days, the Party not claiming Force Majeure may, at its option, terminate this Agreement on 3 days prior written notice.  "Force Majeure"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substitute therefor; provided, however, in no event shall a Force Majeure be construed to relieve a Party of any obligations under this Agreement solely because of increased costs or other adverse economic consequences that may be incurred by such Party through performance of such obligations.</w:t>
      </w:r>
    </w:p>
    <w:p>
      <w:pPr>
        <w:pStyle w:val="Normal"/>
        <w:tabs>
          <w:tab w:val="clear" w:pos="720"/>
          <w:tab w:val="left" w:pos="-720" w:leader="none"/>
          <w:tab w:val="left" w:pos="630" w:leader="none"/>
        </w:tabs>
        <w:suppressAutoHyphens w:val="true"/>
        <w:spacing w:before="60" w:after="0"/>
        <w:jc w:val="both"/>
        <w:rPr/>
      </w:pPr>
      <w:r>
        <w:rPr>
          <w:b/>
          <w:sz w:val="20"/>
        </w:rPr>
        <w:t>14. EVENTS OF DEFAULT AND REMEDIES</w:t>
      </w:r>
      <w:r>
        <w:rPr>
          <w:sz w:val="20"/>
        </w:rPr>
        <w:t>.</w:t>
      </w:r>
    </w:p>
    <w:p>
      <w:pPr>
        <w:pStyle w:val="BodyTextIndent2"/>
        <w:numPr>
          <w:ilvl w:val="0"/>
          <w:numId w:val="3"/>
        </w:numPr>
        <w:tabs>
          <w:tab w:val="clear" w:pos="720"/>
          <w:tab w:val="left" w:pos="-720" w:leader="none"/>
        </w:tabs>
        <w:suppressAutoHyphens w:val="true"/>
        <w:spacing w:lineRule="auto" w:line="240" w:before="0" w:after="0"/>
        <w:ind w:firstLine="720" w:start="0" w:end="0"/>
        <w:rPr>
          <w:rFonts w:ascii="Times New Roman" w:hAnsi="Times New Roman" w:cs="Times New Roman"/>
          <w:sz w:val="20"/>
        </w:rPr>
      </w:pPr>
      <w:r>
        <w:rPr>
          <w:rFonts w:cs="Times New Roman" w:ascii="Times New Roman" w:hAnsi="Times New Roman"/>
          <w:sz w:val="20"/>
        </w:rPr>
        <w:t>Subject to the limitations set forth in the provisions of (b) - (d) of this Paragraph 14, in the event (“Event of Default”) of (i) the failure of either Party to make when due, any payment required hereunder if such failure is not remedied within five working days after notice of such failure is given to the defaulting Party by the other Party, (ii) the failure of either party to comply with any or all of its other respective obligations in good faith as herein set forth and such non-compliance is not cured within five days after notice thereof to the defaulting party, or (iii) either Party (a) filing a petition in bankruptcy and such petition is not withdrawn or dismissed for 30 days after such filing; (b) having such a petition filed against it, and such petition is not withdrawn or dismissed within thirty (30) days after such filing; (c) becoming otherwise insolvent or unable to pay its debts as they become due, or (iv) the failure of a Party’s guarantor  (such Party being deemed to be the defaulting party) to perform any covenant set forth in its guaranty, or such guaranty shall expire or be terminated or shall cease to guarantee the obligations of such Party hereunder, or such guarantor shall become subject to any of the events specified in (iii) (a), (b) or (c) above, the non-defaulting party may, for so long as such Event of Default is continuing, (A) establish by notice to the defaulting party a date on which this Agreement shall terminate early (the “Early Termination Date”), and the non-defaulting party shall calculate, using the formula described in 14 (b) or (c) below, as applicable, and otherwise in a commercially reasonable manner, its damages, including any associated costs, resulting from the early termination of this Agreement. Such damages and costs, if any, shall be paid by the defaulting party to the nondefaulting party within five working days of the defaulting party’s receipt of Notice of the damages amount,  and/or (B) suspend performance of  its obligations under this Agreement until such Event of Default is cured.  The failure of the Parties to agree on a price adjustment shall not constitute grounds for rescission or termination of this Agreement.</w:t>
      </w:r>
    </w:p>
    <w:p>
      <w:pPr>
        <w:pStyle w:val="Normal"/>
        <w:numPr>
          <w:ilvl w:val="0"/>
          <w:numId w:val="5"/>
        </w:numPr>
        <w:tabs>
          <w:tab w:val="clear" w:pos="720"/>
          <w:tab w:val="left" w:pos="1080" w:leader="none"/>
        </w:tabs>
        <w:ind w:firstLine="720" w:start="0" w:end="0"/>
        <w:jc w:val="both"/>
        <w:rPr>
          <w:sz w:val="20"/>
        </w:rPr>
      </w:pPr>
      <w:r>
        <w:rPr>
          <w:sz w:val="20"/>
        </w:rPr>
        <w:t>Unless excused by Force Majeure or Buyer's failure to perform, if Seller fails to deliver all or part of the quantity of Coal to be delivered hereunder,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relevant Delivery Point) or, absent such a purchase, the market price for such quantity of Coal (F.O.B., Delivery Point) as determined by Buyer in a commercially reasonable manner.  It is expressly agreed that Buyer shall not be required to enter into a replacement transaction in order to determine the Replacement Price. Such payment shall be paid within 10 days after an invoice is received by the Party obligated to make the payment.</w:t>
      </w:r>
    </w:p>
    <w:p>
      <w:pPr>
        <w:pStyle w:val="Normal"/>
        <w:numPr>
          <w:ilvl w:val="0"/>
          <w:numId w:val="4"/>
        </w:numPr>
        <w:tabs>
          <w:tab w:val="clear" w:pos="720"/>
          <w:tab w:val="left" w:pos="1080" w:leader="none"/>
        </w:tabs>
        <w:ind w:firstLine="720" w:start="0" w:end="0"/>
        <w:jc w:val="both"/>
        <w:rPr>
          <w:sz w:val="20"/>
        </w:rPr>
      </w:pPr>
      <w:r>
        <w:rPr>
          <w:sz w:val="20"/>
        </w:rPr>
        <w:t>Unless excused by Force Majeure or Seller's failure to perform, if Buyer fails to accept all or any part of the quantity of Coal to be delivered hereunder,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relevant Delivery Point) or, absent such a sale, the market price for such quantity of Coal (F.O.B., Delivery Point), as determined by Seller in a commercially reasonable manner.  It is expressly agreed that Seller shall not be required to enter into a replacement transaction in order to determine the Sales Price. Such payment shall be paid within 10 days after an invoice is received by the Party obligated to make the payment.</w:t>
      </w:r>
    </w:p>
    <w:p>
      <w:pPr>
        <w:pStyle w:val="BodyTextIndent2"/>
        <w:tabs>
          <w:tab w:val="clear" w:pos="720"/>
          <w:tab w:val="left" w:pos="1080" w:leader="none"/>
        </w:tabs>
        <w:spacing w:lineRule="auto" w:line="240" w:before="0" w:after="0"/>
        <w:rPr>
          <w:rFonts w:ascii="Times New Roman" w:hAnsi="Times New Roman" w:cs="Times New Roman"/>
          <w:sz w:val="20"/>
        </w:rPr>
      </w:pPr>
      <w:r>
        <w:rPr>
          <w:rFonts w:cs="Times New Roman" w:ascii="Times New Roman" w:hAnsi="Times New Roman"/>
          <w:sz w:val="20"/>
        </w:rPr>
        <w:t>(d)</w:t>
        <w:tab/>
        <w:t>Each Party hereby stipulates that the payment obligations set forth in (b) and (c) above are reasonable in light of the anticipated harm and the difficulty of estimation or calculation of actual damages and each party hereby waives the right to contest such payments as an unreasonable penalty or otherwise.  In the event that either Seller or Buyer fails to pay amounts under this Agreement when due, the aggrieved party shall have the right to:  (i) suspend performance under this Agreement until such amounts plus interest at the Interest Rate have been paid, and/or (ii) exercise any remedy available at law or in equity to enforce payment of such amount plus interest at the Interest Rate.  The remedy set forth in (b) and (c) of this Paragraph 14 shall be the sole and exclusive remedy of the aggrieved party for the failure of the other to deliver or accept, as the case may be, the quantity of Coal specified herein prior to an early termination of this Agreement, and all other damages and remedies are hereby waived as to such failure(s), except as set forth in Paragraph 15 below.</w:t>
      </w:r>
    </w:p>
    <w:p>
      <w:pPr>
        <w:pStyle w:val="Normal"/>
        <w:tabs>
          <w:tab w:val="clear" w:pos="720"/>
          <w:tab w:val="left" w:pos="-720" w:leader="none"/>
        </w:tabs>
        <w:suppressAutoHyphens w:val="true"/>
        <w:spacing w:before="60" w:after="0"/>
        <w:jc w:val="both"/>
        <w:rPr/>
      </w:pPr>
      <w:r>
        <w:rPr>
          <w:b/>
          <w:sz w:val="20"/>
        </w:rPr>
        <w:t>15. LIMITATION ON LIABILITY</w:t>
      </w:r>
      <w:r>
        <w:rPr>
          <w:sz w:val="20"/>
        </w:rPr>
        <w:t>.  No waiver of remedies or damages herein shall apply to claims of anticipatory repudiation or remedies therefor provided by law except that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before="60" w:after="0"/>
        <w:jc w:val="both"/>
        <w:rPr>
          <w:b/>
          <w:sz w:val="20"/>
        </w:rPr>
      </w:pPr>
      <w:r>
        <w:rPr>
          <w:b/>
          <w:sz w:val="20"/>
        </w:rPr>
        <w:t>16.  TITLE/RISK OF LOSS</w:t>
      </w:r>
      <w:r>
        <w:rPr>
          <w:sz w:val="20"/>
        </w:rPr>
        <w:t>.  Seller warrants good title to all Coal delivered hereunder, free and clear of all claims and encumbrances.  Title and risk of loss shall pass to Buyer upon delivery at the Delivery Point.</w:t>
      </w:r>
    </w:p>
    <w:p>
      <w:pPr>
        <w:pStyle w:val="Normal"/>
        <w:tabs>
          <w:tab w:val="clear" w:pos="720"/>
          <w:tab w:val="left" w:pos="-720" w:leader="none"/>
        </w:tabs>
        <w:suppressAutoHyphens w:val="true"/>
        <w:spacing w:before="60" w:after="0"/>
        <w:jc w:val="both"/>
        <w:rPr/>
      </w:pPr>
      <w:r>
        <w:rPr>
          <w:b/>
          <w:sz w:val="20"/>
        </w:rPr>
        <w:t>17.  ASSIGNMENT</w:t>
      </w:r>
      <w:r>
        <w:rPr>
          <w:sz w:val="20"/>
        </w:rPr>
        <w:t xml:space="preserve">.  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i/>
          <w:sz w:val="20"/>
        </w:rPr>
        <w:t xml:space="preserve">provided, however, </w:t>
      </w:r>
      <w:r>
        <w:rPr>
          <w:sz w:val="20"/>
        </w:rPr>
        <w:t>that in each such case any such assignee shall agree in writing to be bound by the terms and conditions hereof.  “Affiliate” means, with respect to any person, any other person (other than an individual) that directly or indirectly, through one or more intermediaries, controls or is controlled by, or is under common control with, such person.  For this purpose, “</w:t>
      </w:r>
      <w:r>
        <w:rPr>
          <w:sz w:val="20"/>
          <w:u w:val="single"/>
        </w:rPr>
        <w:t>control</w:t>
      </w:r>
      <w:r>
        <w:rPr>
          <w:sz w:val="20"/>
        </w:rPr>
        <w:t>” means the direct or indirect ownership of 50% or more of the outstanding capital stock or other equity interests having ordinary voting power.</w:t>
      </w:r>
    </w:p>
    <w:p>
      <w:pPr>
        <w:pStyle w:val="Normal"/>
        <w:tabs>
          <w:tab w:val="clear" w:pos="720"/>
          <w:tab w:val="left" w:pos="-720" w:leader="none"/>
        </w:tabs>
        <w:suppressAutoHyphens w:val="true"/>
        <w:spacing w:before="60" w:after="0"/>
        <w:jc w:val="both"/>
        <w:rPr/>
      </w:pPr>
      <w:r>
        <w:rPr>
          <w:b/>
          <w:sz w:val="20"/>
        </w:rPr>
        <w:t>18. ENTIRE AGREEMENT</w:t>
      </w:r>
      <w:r>
        <w:rPr>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before="60" w:after="0"/>
        <w:jc w:val="both"/>
        <w:rPr/>
      </w:pPr>
      <w:r>
        <w:rPr>
          <w:b/>
          <w:sz w:val="20"/>
        </w:rPr>
        <w:t>19.  NO WAIVER</w:t>
      </w:r>
      <w:r>
        <w:rPr>
          <w:sz w:val="20"/>
        </w:rPr>
        <w:t>.  Waiver of any breach of this Agreement shall not be construed as a waiver of any other breach.</w:t>
      </w:r>
    </w:p>
    <w:p>
      <w:pPr>
        <w:pStyle w:val="Normal"/>
        <w:tabs>
          <w:tab w:val="clear" w:pos="720"/>
          <w:tab w:val="left" w:pos="-720" w:leader="none"/>
        </w:tabs>
        <w:suppressAutoHyphens w:val="true"/>
        <w:spacing w:before="60" w:after="0"/>
        <w:jc w:val="both"/>
        <w:rPr/>
      </w:pPr>
      <w:r>
        <w:rPr>
          <w:b/>
          <w:sz w:val="20"/>
        </w:rPr>
        <w:t>20. GOVERNING LAW</w:t>
      </w:r>
      <w:r>
        <w:rPr>
          <w:sz w:val="20"/>
        </w:rPr>
        <w:t xml:space="preserve">.  This Agreement shall be construed and governed by the laws of the State of Texas, including, without limitation, the Uniform Commercial Code, without giving effect to principles of conflicts of law. </w:t>
      </w:r>
    </w:p>
    <w:p>
      <w:pPr>
        <w:pStyle w:val="Normal"/>
        <w:tabs>
          <w:tab w:val="clear" w:pos="720"/>
          <w:tab w:val="left" w:pos="-720" w:leader="none"/>
        </w:tabs>
        <w:suppressAutoHyphens w:val="true"/>
        <w:spacing w:before="60" w:after="0"/>
        <w:jc w:val="both"/>
        <w:rPr/>
      </w:pPr>
      <w:r>
        <w:rPr>
          <w:b/>
          <w:sz w:val="20"/>
        </w:rPr>
        <w:t>21.CONFIDENTIALITY</w:t>
      </w:r>
      <w:r>
        <w:rPr>
          <w:sz w:val="20"/>
        </w:rPr>
        <w:t xml:space="preserve">.  Each Party acknowledges that this Agreement contains confidential information that would put them at a competitive disadvantage if disclosed to the public.  Therefore, the economic terms of each Transaction shall be kept confidential by the Parties, that disclosure may be made to such Party’s lenders, affiliates, accounts and auditors or as otherwise may be required by law, regulation or judicial or administrative order. </w:t>
      </w:r>
    </w:p>
    <w:p>
      <w:pPr>
        <w:pStyle w:val="Normal"/>
        <w:tabs>
          <w:tab w:val="clear" w:pos="720"/>
          <w:tab w:val="left" w:pos="-720" w:leader="none"/>
        </w:tabs>
        <w:suppressAutoHyphens w:val="true"/>
        <w:spacing w:before="60" w:after="0"/>
        <w:jc w:val="both"/>
        <w:rPr/>
      </w:pPr>
      <w:r>
        <w:rPr>
          <w:b/>
          <w:sz w:val="20"/>
        </w:rPr>
        <w:t>22. SETOFF</w:t>
      </w:r>
      <w:r>
        <w:rPr>
          <w:sz w:val="20"/>
        </w:rPr>
        <w:t xml:space="preserve">.  Each Party reserves all rights of setoff which such Party has or may be entitled to arising from or out of this Agreement. </w:t>
      </w:r>
    </w:p>
    <w:p>
      <w:pPr>
        <w:pStyle w:val="Normal"/>
        <w:tabs>
          <w:tab w:val="clear" w:pos="720"/>
          <w:tab w:val="left" w:pos="-720" w:leader="none"/>
        </w:tabs>
        <w:suppressAutoHyphens w:val="true"/>
        <w:spacing w:before="60" w:after="0"/>
        <w:jc w:val="both"/>
        <w:rPr/>
      </w:pPr>
      <w:r>
        <w:rPr>
          <w:b/>
          <w:sz w:val="20"/>
        </w:rPr>
        <w:t xml:space="preserve">23. </w:t>
      </w:r>
      <w:r>
        <w:rPr>
          <w:b/>
          <w:color w:val="000000"/>
          <w:sz w:val="20"/>
          <w:lang w:eastAsia="en-US"/>
        </w:rPr>
        <w:t>TAXES.</w:t>
      </w:r>
      <w:r>
        <w:rPr>
          <w:color w:val="000000"/>
          <w:sz w:val="20"/>
          <w:lang w:eastAsia="en-US"/>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“Taxes” means any or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“Claims” means all third party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w:t>
      </w:r>
      <w:r>
        <w:rPr>
          <w:sz w:val="20"/>
        </w:rPr>
        <w:t xml:space="preserve"> </w:t>
      </w:r>
    </w:p>
    <w:p>
      <w:pPr>
        <w:pStyle w:val="Normal"/>
        <w:jc w:val="both"/>
        <w:rPr>
          <w:b/>
          <w:sz w:val="20"/>
        </w:rPr>
      </w:pPr>
      <w:r>
        <w:rPr>
          <w:b/>
          <w:sz w:val="20"/>
        </w:rPr>
        <w:t>24. CREDIT TERMS AND SECURITY.</w:t>
      </w:r>
    </w:p>
    <w:p>
      <w:pPr>
        <w:pStyle w:val="Normal"/>
        <w:ind w:firstLine="720" w:end="0"/>
        <w:jc w:val="both"/>
        <w:rPr/>
      </w:pPr>
      <w:r>
        <w:rPr>
          <w:sz w:val="20"/>
        </w:rPr>
        <w:t>(a)</w:t>
      </w:r>
      <w:r>
        <w:rPr>
          <w:color w:val="000000"/>
          <w:sz w:val="20"/>
        </w:rPr>
        <w:t xml:space="preserve">  (i)If Buyer exceeds its credit limit with Seller; (ii) Seller determines that the financial condition of Buyer or Buyer's guarantor (if any) has become impaired or unsatisfactory, whether or not Seller has granted credit to Buyer under this Agreement or any other agreement; or (iii)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ind w:firstLine="720" w:end="0"/>
        <w:jc w:val="both"/>
        <w:rPr/>
      </w:pPr>
      <w:r>
        <w:rPr>
          <w:color w:val="000000"/>
          <w:sz w:val="20"/>
        </w:rPr>
        <w:t>(b)</w:t>
      </w:r>
      <w:r>
        <w:rPr>
          <w:b/>
          <w:color w:val="000000"/>
          <w:sz w:val="20"/>
        </w:rPr>
        <w:t xml:space="preserve">  </w:t>
      </w:r>
      <w:r>
        <w:rPr>
          <w:color w:val="000000"/>
          <w:sz w:val="20"/>
        </w:rPr>
        <w:t>Pursuant to this Section, Seller's requirement for security or assurances may include, at Seller's option: (i) prepayment in an amount, as determined in Seller's sole discretion, up to the estimated maximum value of the Coal to be delivered, plus taxes and other charges, if applicable; (ii) an irrevocable standby or documentary letter of credit in an amount, as determined in Seller's sole discretion, up to the estimated maximum value of the Coal to be delivered, plus taxes and other charges, if applicable, opened by Buyer for the benefit of Seller no later than seven business days prior to the scheduled delivery date, in a form acceptable to Seller, and issued or confirmed by a bank, acceptable to Seller in its sole discretion; or (iii) delivery to Seller at least seven business days prior to the scheduled delivery date of a guaranty from Buyer's parent company or from another entity or person (as determined by Seller in its sole discretion), in form and substance satisfactory to Seller, of the prompt payment, when due, of any and all present or future sums due Seller from Buyer under this Agreement.</w:t>
      </w:r>
    </w:p>
    <w:p>
      <w:pPr>
        <w:pStyle w:val="Normal"/>
        <w:ind w:firstLine="720" w:end="0"/>
        <w:jc w:val="both"/>
        <w:rPr/>
      </w:pPr>
      <w:r>
        <w:rPr>
          <w:color w:val="000000"/>
          <w:sz w:val="20"/>
        </w:rPr>
        <w:t>(c)</w:t>
      </w:r>
      <w:r>
        <w:rPr>
          <w:b/>
          <w:color w:val="000000"/>
          <w:sz w:val="20"/>
        </w:rPr>
        <w:t xml:space="preserve">  </w:t>
      </w:r>
      <w:r>
        <w:rPr>
          <w:color w:val="000000"/>
          <w:sz w:val="20"/>
        </w:rPr>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this Sections 24.  </w:t>
      </w:r>
    </w:p>
    <w:p>
      <w:pPr>
        <w:pStyle w:val="Normal"/>
        <w:ind w:firstLine="720" w:end="0"/>
        <w:jc w:val="both"/>
        <w:rPr/>
      </w:pPr>
      <w:r>
        <w:rPr>
          <w:color w:val="000000"/>
          <w:sz w:val="20"/>
        </w:rPr>
        <w:t>(d)</w:t>
      </w:r>
      <w:r>
        <w:rPr>
          <w:b/>
          <w:color w:val="000000"/>
          <w:sz w:val="20"/>
        </w:rPr>
        <w:t xml:space="preserve">  </w:t>
      </w:r>
      <w:r>
        <w:rPr>
          <w:color w:val="000000"/>
          <w:sz w:val="20"/>
        </w:rPr>
        <w:t>In the event Buyer prepays or furnishes Seller with a letter of credit based upon the estimated maximum value of the Coal to be delivered, Buyer promptly shall pay any shortfall to Seller when due, and Seller shall remit to Buyer any overpayment by Buyer when the final invoice amount for the Coal delivered is determined.</w:t>
      </w:r>
    </w:p>
    <w:p>
      <w:pPr>
        <w:pStyle w:val="Normal"/>
        <w:ind w:firstLine="720" w:end="0"/>
        <w:jc w:val="both"/>
        <w:rPr/>
      </w:pPr>
      <w:r>
        <w:rPr>
          <w:color w:val="000000"/>
          <w:sz w:val="20"/>
        </w:rPr>
        <w:t>(e)</w:t>
      </w:r>
      <w:r>
        <w:rPr>
          <w:b/>
          <w:color w:val="000000"/>
          <w:sz w:val="20"/>
        </w:rPr>
        <w:t xml:space="preserve">  </w:t>
      </w:r>
      <w:r>
        <w:rPr>
          <w:color w:val="000000"/>
          <w:sz w:val="20"/>
        </w:rPr>
        <w:t>All bank charges and other fees, commissions, costs and expenses incurred with respect to furnishing security to Seller shall be for the account of Buyer.</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G Times (WN)">
    <w:charset w:val="00" w:characterSet="windows-1252"/>
    <w:family w:val="roman"/>
    <w:pitch w:val="variable"/>
  </w:font>
  <w:font w:name="Century Schoolbook">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spacing w:before="0" w:after="60"/>
      <w:jc w:val="both"/>
      <w:rPr>
        <w:sz w:val="10"/>
      </w:rPr>
    </w:pPr>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/mnt/main-storage/datasets/enron-docs/doc/EOL__GTC__02.08.00.doc</w:t>
    </w:r>
    <w:r>
      <w:rPr>
        <w:sz w:val="10"/>
        <w:lang w:eastAsia="en-US"/>
      </w:rPr>
      <w:fldChar w:fldCharType="end"/>
    </w:r>
  </w:p>
  <w:p>
    <w:pPr>
      <w:pStyle w:val="Footer"/>
      <w:rPr>
        <w:sz w:val="10"/>
      </w:rPr>
    </w:pPr>
    <w:r>
      <w:rPr>
        <w:sz w:val="1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abstractNum w:abstractNumId="4">
    <w:lvl w:ilvl="0">
      <w:start w:val="3"/>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abstractNum w:abstractNumId="5">
    <w:lvl w:ilvl="0">
      <w:start w:val="2"/>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Times New Roman" w:hAnsi="CG Times;Times New Roman" w:cs="CG Times;Times New Roman"/>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tabs>
        <w:tab w:val="clear" w:pos="720"/>
        <w:tab w:val="left" w:pos="972" w:leader="none"/>
        <w:tab w:val="left" w:pos="2772" w:leader="none"/>
        <w:tab w:val="left" w:pos="4392" w:leader="none"/>
      </w:tabs>
      <w:ind w:hanging="1890" w:start="2772" w:end="0"/>
      <w:jc w:val="both"/>
      <w:outlineLvl w:val="4"/>
    </w:pPr>
    <w:rPr>
      <w:i/>
      <w:sz w:val="20"/>
    </w:rPr>
  </w:style>
  <w:style w:type="paragraph" w:styleId="Heading6">
    <w:name w:val="heading 6"/>
    <w:basedOn w:val="Normal"/>
    <w:next w:val="Normal"/>
    <w:qFormat/>
    <w:pPr>
      <w:keepNext w:val="true"/>
      <w:numPr>
        <w:ilvl w:val="5"/>
        <w:numId w:val="1"/>
      </w:numPr>
      <w:outlineLvl w:val="5"/>
    </w:pPr>
    <w:rPr>
      <w:rFonts w:ascii="Arial" w:hAnsi="Arial" w:cs="Arial"/>
      <w:b/>
      <w:sz w:val="19"/>
    </w:rPr>
  </w:style>
  <w:style w:type="paragraph" w:styleId="Heading7">
    <w:name w:val="heading 7"/>
    <w:basedOn w:val="Normal"/>
    <w:next w:val="Normal"/>
    <w:qFormat/>
    <w:pPr>
      <w:keepNext w:val="true"/>
      <w:numPr>
        <w:ilvl w:val="6"/>
        <w:numId w:val="1"/>
      </w:numPr>
      <w:tabs>
        <w:tab w:val="clear" w:pos="720"/>
        <w:tab w:val="left" w:pos="-720" w:leader="none"/>
        <w:tab w:val="left" w:pos="8640" w:leader="none"/>
      </w:tabs>
      <w:suppressAutoHyphens w:val="true"/>
      <w:spacing w:before="0" w:after="60"/>
      <w:jc w:val="center"/>
      <w:outlineLvl w:val="6"/>
    </w:pPr>
    <w:rPr>
      <w:sz w:val="20"/>
    </w:rPr>
  </w:style>
  <w:style w:type="paragraph" w:styleId="Heading8">
    <w:name w:val="heading 8"/>
    <w:basedOn w:val="Normal"/>
    <w:next w:val="Normal"/>
    <w:qFormat/>
    <w:pPr>
      <w:keepNext w:val="true"/>
      <w:numPr>
        <w:ilvl w:val="7"/>
        <w:numId w:val="1"/>
      </w:numPr>
      <w:jc w:val="center"/>
      <w:outlineLvl w:val="7"/>
    </w:pPr>
    <w:rPr>
      <w:color w:val="FF0000"/>
      <w:sz w:val="19"/>
    </w:rPr>
  </w:style>
  <w:style w:type="character" w:styleId="WW8Num1z0">
    <w:name w:val="WW8Num1z0"/>
    <w:qFormat/>
    <w:rPr>
      <w:b/>
      <w:u w:val="single"/>
    </w:rPr>
  </w:style>
  <w:style w:type="character" w:styleId="WW8Num3z0">
    <w:name w:val="WW8Num3z0"/>
    <w:qFormat/>
    <w:rPr/>
  </w:style>
  <w:style w:type="character" w:styleId="WW8Num4z0">
    <w:name w:val="WW8Num4z0"/>
    <w:qFormat/>
    <w:rPr>
      <w:b/>
    </w:rPr>
  </w:style>
  <w:style w:type="character" w:styleId="WW8Num5z0">
    <w:name w:val="WW8Num5z0"/>
    <w:qFormat/>
    <w:rPr>
      <w:rFonts w:ascii="CG Times;Times New Roman" w:hAnsi="CG Times;Times New Roman" w:cs="CG Times;Times New Roman"/>
      <w:b w:val="false"/>
      <w:i w:val="false"/>
      <w:sz w:val="16"/>
      <w:u w:val="none"/>
    </w:rPr>
  </w:style>
  <w:style w:type="character" w:styleId="WW8Num6z0">
    <w:name w:val="WW8Num6z0"/>
    <w:qFormat/>
    <w:rPr>
      <w:b/>
      <w:u w:val="single"/>
    </w:rPr>
  </w:style>
  <w:style w:type="character" w:styleId="WW8Num7z0">
    <w:name w:val="WW8Num7z0"/>
    <w:qFormat/>
    <w:rPr>
      <w:rFonts w:ascii="Century Schoolbook" w:hAnsi="Century Schoolbook" w:cs="Century Schoolbook"/>
      <w:b/>
      <w:i w:val="false"/>
      <w:sz w:val="17"/>
    </w:rPr>
  </w:style>
  <w:style w:type="character" w:styleId="WW8Num8z0">
    <w:name w:val="WW8Num8z0"/>
    <w:qFormat/>
    <w:rPr/>
  </w:style>
  <w:style w:type="character" w:styleId="WW8Num10z0">
    <w:name w:val="WW8Num10z0"/>
    <w:qFormat/>
    <w:rPr>
      <w:rFonts w:ascii="CG Times;Times New Roman" w:hAnsi="CG Times;Times New Roman" w:cs="CG Times;Times New Roman"/>
      <w:b/>
      <w:i w:val="false"/>
      <w:sz w:val="16"/>
      <w:u w:val="none"/>
    </w:rPr>
  </w:style>
  <w:style w:type="character" w:styleId="WW8Num11z0">
    <w:name w:val="WW8Num11z0"/>
    <w:qFormat/>
    <w:rPr>
      <w:rFonts w:ascii="CG Times;Times New Roman" w:hAnsi="CG Times;Times New Roman" w:cs="CG Times;Times New Roman"/>
      <w:b w:val="false"/>
      <w:i w:val="false"/>
      <w:sz w:val="16"/>
      <w:u w:val="none"/>
    </w:rPr>
  </w:style>
  <w:style w:type="character" w:styleId="WW8Num14z0">
    <w:name w:val="WW8Num14z0"/>
    <w:qFormat/>
    <w:rPr>
      <w:rFonts w:ascii="CG Times;Times New Roman" w:hAnsi="CG Times;Times New Roman" w:cs="CG Times;Times New Roman"/>
      <w:b w:val="false"/>
      <w:i w:val="false"/>
      <w:sz w:val="16"/>
      <w:u w:val="none"/>
    </w:rPr>
  </w:style>
  <w:style w:type="character" w:styleId="WW8Num15z0">
    <w:name w:val="WW8Num15z0"/>
    <w:qFormat/>
    <w:rPr/>
  </w:style>
  <w:style w:type="character" w:styleId="WW8Num16z0">
    <w:name w:val="WW8Num16z0"/>
    <w:qFormat/>
    <w:rPr>
      <w:b/>
    </w:rPr>
  </w:style>
  <w:style w:type="character" w:styleId="WW8Num17z0">
    <w:name w:val="WW8Num17z0"/>
    <w:qFormat/>
    <w:rPr>
      <w:b/>
    </w:rPr>
  </w:style>
  <w:style w:type="character" w:styleId="WW8NumSt8z0">
    <w:name w:val="WW8NumSt8z0"/>
    <w:qFormat/>
    <w:rPr>
      <w:rFonts w:ascii="CG Times;Times New Roman" w:hAnsi="CG Times;Times New Roman" w:cs="CG Times;Times New Roman"/>
      <w:b/>
      <w:i w:val="false"/>
      <w:sz w:val="16"/>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17"/>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 w:hAnsi="Arial" w:cs="Arial"/>
      <w:b/>
      <w:sz w:val="17"/>
      <w:lang w:eastAsia="en-US"/>
    </w:rPr>
  </w:style>
  <w:style w:type="paragraph" w:styleId="BodyText2">
    <w:name w:val="Body Text 2"/>
    <w:basedOn w:val="Normal"/>
    <w:qFormat/>
    <w:pPr>
      <w:ind w:hanging="0" w:start="0" w:end="1872"/>
      <w:jc w:val="both"/>
    </w:pPr>
    <w:rPr>
      <w:rFonts w:ascii="Arial" w:hAnsi="Arial" w:cs="Arial"/>
      <w:sz w:val="17"/>
    </w:rPr>
  </w:style>
  <w:style w:type="paragraph" w:styleId="BodyTextIndent2">
    <w:name w:val="Body Text Indent 2"/>
    <w:basedOn w:val="Normal"/>
    <w:qFormat/>
    <w:pPr>
      <w:spacing w:lineRule="auto" w:line="185" w:before="0" w:after="60"/>
      <w:ind w:firstLine="720" w:start="0" w:end="0"/>
      <w:jc w:val="both"/>
    </w:pPr>
    <w:rPr>
      <w:rFonts w:ascii="CG Times;Times New Roman" w:hAnsi="CG Times;Times New Roman" w:cs="CG Times;Times New Roman"/>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2000-02-08T13:22:00Z</dcterms:created>
  <dc:creator>ECT</dc:creator>
  <dc:description/>
  <dc:language>en-CA</dc:language>
  <cp:lastModifiedBy>wgresha</cp:lastModifiedBy>
  <cp:lastPrinted>2000-02-04T17:05:00Z</cp:lastPrinted>
  <dcterms:modified xsi:type="dcterms:W3CDTF">2000-02-08T13:30:00Z</dcterms:modified>
  <cp:revision>3</cp:revision>
  <dc:subject>Arizona Public Service Company</dc:subject>
  <dc:title>EV0425.1</dc:title>
</cp:coreProperties>
</file>