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rPr>
          <w:rFonts w:ascii="Arial Black" w:hAnsi="Arial Black" w:cs="Arial Black"/>
          <w:b w:val="false"/>
          <w:sz w:val="18"/>
        </w:rPr>
      </w:pPr>
      <w: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1.05pt;margin-top:-5.4pt;width:119.45pt;height:16.4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561358308" r:id="rId2"/>
        </w:object>
      </w:r>
      <w:r>
        <w:rPr>
          <w:rFonts w:cs="Arial Black" w:ascii="Arial Black" w:hAnsi="Arial Black"/>
          <w:b w:val="false"/>
          <w:sz w:val="18"/>
        </w:rPr>
        <w:t>Price Report</w:t>
        <w:br/>
        <w:t>Thursday 9/14/00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629285</wp:posOffset>
                </wp:positionH>
                <wp:positionV relativeFrom="paragraph">
                  <wp:posOffset>19685</wp:posOffset>
                </wp:positionV>
                <wp:extent cx="353695" cy="35306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3530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0" w:name="_1030865151"/>
                            <w:bookmarkEnd w:id="0"/>
                            <w:r>
                              <w:rPr>
                                <w:rFonts w:cs="Arial" w:ascii="Arial" w:hAnsi="Arial"/>
                              </w:rPr>
                              <w:object w:dxaOrig="556" w:dyaOrig="556">
                                <v:shapetype id="_x0000_tole_rId4" coordsize="21600,21600" o:spt="ole_rId4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4" type="_x0000_tole_rId4" style="width:27.8pt;height:27.8pt" filled="f" o:ole="">
                                  <v:imagedata r:id="rId5" o:title=""/>
                                </v:shape>
                                <o:OLEObject Type="Embed" ProgID="" ShapeID="ole_rId4" DrawAspect="Content" ObjectID="_1805908051" r:id="rId4"/>
                              </w:objec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7.85pt;height:27.8pt;mso-wrap-distance-left:9pt;mso-wrap-distance-right:9pt;mso-wrap-distance-top:0pt;mso-wrap-distance-bottom:0pt;margin-top:1.55pt;mso-position-vertical-relative:text;margin-left:49.5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</w:rPr>
                      </w:pPr>
                      <w:bookmarkStart w:id="1" w:name="_1030865151"/>
                      <w:bookmarkEnd w:id="1"/>
                      <w:r>
                        <w:rPr>
                          <w:rFonts w:cs="Arial" w:ascii="Arial" w:hAnsi="Arial"/>
                        </w:rPr>
                        <w:object w:dxaOrig="556" w:dyaOrig="556">
                          <v:shapetype id="_x0000_tole_rId6" coordsize="21600,21600" o:spt="ole_rId6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6" type="_x0000_tole_rId6" style="width:27.8pt;height:27.8pt" filled="f" o:ole="">
                            <v:imagedata r:id="rId7" o:title=""/>
                          </v:shape>
                          <o:OLEObject Type="Embed" ProgID="" ShapeID="ole_rId6" DrawAspect="Content" ObjectID="_1671614816" r:id="rId6"/>
                        </w:objec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spacing w:before="0" w:after="0"/>
        <w:ind w:hanging="0" w:start="0"/>
        <w:rPr>
          <w:sz w:val="16"/>
        </w:rPr>
      </w:pPr>
      <w:r>
        <w:rPr>
          <w:sz w:val="16"/>
        </w:rPr>
        <w:t>Basis Swap Prices vs. Nymex</w:t>
      </w:r>
    </w:p>
    <w:p>
      <w:pPr>
        <w:pStyle w:val="Normal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  <w:t>Term: November 2000 – March 2001</w:t>
      </w:r>
    </w:p>
    <w:p>
      <w:pPr>
        <w:pStyle w:val="Normal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  <w:t xml:space="preserve">Prices in $/mmBtu </w:t>
      </w:r>
    </w:p>
    <w:p>
      <w:pPr>
        <w:pStyle w:val="Heading2"/>
        <w:tabs>
          <w:tab w:val="clear" w:pos="720"/>
          <w:tab w:val="center" w:pos="1800" w:leader="none"/>
          <w:tab w:val="center" w:pos="2430" w:leader="none"/>
        </w:tabs>
        <w:ind w:hanging="0" w:start="0"/>
        <w:rPr/>
      </w:pPr>
      <w:r>
        <w:rPr/>
        <w:tab/>
        <w:t>Prices</w:t>
        <w:tab/>
        <w:t>Change</w:t>
      </w:r>
    </w:p>
    <w:p>
      <w:pPr>
        <w:pStyle w:val="Normal"/>
        <w:tabs>
          <w:tab w:val="clear" w:pos="720"/>
          <w:tab w:val="center" w:pos="1800" w:leader="none"/>
          <w:tab w:val="center" w:pos="2430" w:leader="none"/>
        </w:tabs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  <w:t>Transco Zone 6 NY</w:t>
        <w:tab/>
        <w:t>1.845</w:t>
        <w:tab/>
        <w:t>0.060</w:t>
      </w:r>
    </w:p>
    <w:p>
      <w:pPr>
        <w:pStyle w:val="Normal"/>
        <w:tabs>
          <w:tab w:val="clear" w:pos="720"/>
          <w:tab w:val="center" w:pos="1800" w:leader="none"/>
          <w:tab w:val="center" w:pos="2430" w:leader="none"/>
        </w:tabs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  <w:t>Chicago City Gate</w:t>
        <w:tab/>
        <w:t>0.165</w:t>
        <w:tab/>
        <w:t>0.005</w:t>
      </w:r>
    </w:p>
    <w:p>
      <w:pPr>
        <w:pStyle w:val="Normal"/>
        <w:tabs>
          <w:tab w:val="clear" w:pos="720"/>
          <w:tab w:val="center" w:pos="1800" w:leader="none"/>
          <w:tab w:val="center" w:pos="2430" w:leader="none"/>
        </w:tabs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  <w:t>Southern CA Border</w:t>
        <w:tab/>
        <w:t>0.360</w:t>
        <w:tab/>
        <w:t>0.020</w:t>
      </w:r>
    </w:p>
    <w:p>
      <w:pPr>
        <w:pStyle w:val="Normal"/>
        <w:tabs>
          <w:tab w:val="clear" w:pos="720"/>
          <w:tab w:val="center" w:pos="1800" w:leader="none"/>
          <w:tab w:val="center" w:pos="2430" w:leader="none"/>
        </w:tabs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  <w:t>Rockies</w:t>
        <w:tab/>
        <w:t>(0.300)</w:t>
        <w:tab/>
        <w:t>0.030</w:t>
      </w:r>
    </w:p>
    <w:p>
      <w:pPr>
        <w:pStyle w:val="Normal"/>
        <w:tabs>
          <w:tab w:val="clear" w:pos="720"/>
          <w:tab w:val="center" w:pos="1800" w:leader="none"/>
          <w:tab w:val="center" w:pos="2430" w:leader="none"/>
        </w:tabs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  <w:t>Sumas</w:t>
        <w:tab/>
        <w:t>0.240</w:t>
        <w:tab/>
        <w:t>0.050</w:t>
      </w:r>
    </w:p>
    <w:p>
      <w:pPr>
        <w:pStyle w:val="Normal"/>
        <w:tabs>
          <w:tab w:val="clear" w:pos="720"/>
          <w:tab w:val="center" w:pos="1800" w:leader="none"/>
          <w:tab w:val="center" w:pos="2430" w:leader="none"/>
        </w:tabs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  <w:t>Dawn</w:t>
        <w:tab/>
        <w:t>0.375</w:t>
        <w:tab/>
        <w:t>0.050</w:t>
      </w:r>
    </w:p>
    <w:p>
      <w:pPr>
        <w:pStyle w:val="Normal"/>
        <w:tabs>
          <w:tab w:val="clear" w:pos="720"/>
          <w:tab w:val="center" w:pos="1800" w:leader="none"/>
          <w:tab w:val="center" w:pos="2430" w:leader="none"/>
        </w:tabs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  <w:t>AECO</w:t>
        <w:tab/>
        <w:t>(0.295)</w:t>
        <w:tab/>
        <w:t>0.119</w:t>
      </w:r>
    </w:p>
    <w:p>
      <w:pPr>
        <w:pStyle w:val="Normal"/>
        <w:tabs>
          <w:tab w:val="clear" w:pos="720"/>
          <w:tab w:val="center" w:pos="1800" w:leader="none"/>
          <w:tab w:val="center" w:pos="2430" w:leader="none"/>
        </w:tabs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  <w:t>San Juan</w:t>
        <w:tab/>
        <w:t>0.123</w:t>
        <w:tab/>
        <w:t>0.011</w:t>
      </w:r>
    </w:p>
    <w:p>
      <w:pPr>
        <w:pStyle w:val="Normal"/>
        <w:tabs>
          <w:tab w:val="clear" w:pos="720"/>
          <w:tab w:val="center" w:pos="1800" w:leader="none"/>
          <w:tab w:val="center" w:pos="2430" w:leader="none"/>
        </w:tabs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  <w:t>Ship Channel</w:t>
        <w:tab/>
        <w:t>0.234</w:t>
        <w:tab/>
        <w:t>0.012</w:t>
      </w:r>
    </w:p>
    <w:p>
      <w:pPr>
        <w:pStyle w:val="Normal"/>
        <w:tabs>
          <w:tab w:val="clear" w:pos="720"/>
          <w:tab w:val="center" w:pos="1800" w:leader="none"/>
          <w:tab w:val="center" w:pos="2430" w:leader="none"/>
        </w:tabs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  <w:t>Michcon</w:t>
        <w:tab/>
        <w:t>0.345</w:t>
        <w:tab/>
        <w:t>0.013</w:t>
      </w:r>
    </w:p>
    <w:p>
      <w:pPr>
        <w:pStyle w:val="BodyText2"/>
        <w:rPr/>
      </w:pPr>
      <w:r>
        <w:rPr/>
        <w:t>*NOTE: These prices are based on the weighted average price of transactions completed on EnronOnline from the beginning of the trading day in each market till 12 p.m. CST.</w:t>
      </w:r>
    </w:p>
    <w:sectPr>
      <w:type w:val="nextPage"/>
      <w:pgSz w:w="12240" w:h="15840"/>
      <w:pgMar w:left="1800" w:right="711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60" w:after="60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1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60" w:after="60"/>
    </w:pPr>
    <w:rPr>
      <w:rFonts w:ascii="Arial" w:hAnsi="Arial" w:cs="Arial"/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rFonts w:ascii="Arial" w:hAnsi="Arial" w:cs="Arial"/>
      <w:sz w:val="14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2.png"/><Relationship Id="rId6" Type="http://schemas.openxmlformats.org/officeDocument/2006/relationships/oleObject" Target="embeddings/oleObject3.bin"/><Relationship Id="rId7" Type="http://schemas.openxmlformats.org/officeDocument/2006/relationships/image" Target="media/image2.pn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2000-09-19T10:55:00Z</dcterms:created>
  <dc:creator>Kim Hillis-Humlicek</dc:creator>
  <dc:description/>
  <dc:language>en-CA</dc:language>
  <cp:lastModifiedBy>Kim Hillis-Humlicek</cp:lastModifiedBy>
  <cp:lastPrinted>2000-09-19T10:41:00Z</cp:lastPrinted>
  <dcterms:modified xsi:type="dcterms:W3CDTF">2000-09-19T13:29:00Z</dcterms:modified>
  <cp:revision>1</cp:revision>
  <dc:subject/>
  <dc:title> </dc:title>
</cp:coreProperties>
</file>