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bookmarkStart w:id="0" w:name="QuickMark"/>
      <w:bookmarkEnd w:id="0"/>
      <w:r>
        <w:rPr>
          <w:sz w:val="20"/>
        </w:rPr>
        <w:t>NA Version 3 - June 09, 2000</w:t>
      </w:r>
    </w:p>
    <w:p>
      <w:pPr>
        <w:pStyle w:val="Normal"/>
        <w:jc w:val="center"/>
        <w:rPr>
          <w:b/>
        </w:rPr>
      </w:pPr>
      <w:r>
        <w:rPr>
          <w:b/>
        </w:rPr>
        <w:t>ELECTRONIC TRADING AGREEMENT</w:t>
      </w:r>
    </w:p>
    <w:p>
      <w:pPr>
        <w:pStyle w:val="Normal"/>
        <w:jc w:val="both"/>
        <w:rPr/>
      </w:pPr>
      <w:r>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either Enron North America (ENA) or Enron Canada (EC) will govern relevant Transactions between Counterparty and ENA or EC.</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The Counterparty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2001-05-08T17:10:00Z</dcterms:created>
  <dc:creator>rshults</dc:creator>
  <dc:description/>
  <dc:language>en-CA</dc:language>
  <cp:lastModifiedBy>gnelson</cp:lastModifiedBy>
  <dcterms:modified xsi:type="dcterms:W3CDTF">2001-05-08T17:10:00Z</dcterms:modified>
  <cp:revision>2</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ies>
</file>