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50" w:type="dxa"/>
        <w:jc w:val="start"/>
        <w:tblInd w:w="-1260" w:type="dxa"/>
        <w:tblLayout w:type="fixed"/>
        <w:tblCellMar>
          <w:top w:w="0" w:type="dxa"/>
          <w:start w:w="0" w:type="dxa"/>
          <w:bottom w:w="0" w:type="dxa"/>
          <w:end w:w="0" w:type="dxa"/>
        </w:tblCellMar>
      </w:tblPr>
      <w:tblGrid>
        <w:gridCol w:w="11250"/>
      </w:tblGrid>
      <w:tr>
        <w:trPr/>
        <w:tc>
          <w:tcPr>
            <w:tcW w:w="11250" w:type="dxa"/>
            <w:tcBorders/>
          </w:tcPr>
          <w:p>
            <w:pPr>
              <w:pStyle w:val="Normal"/>
              <w:ind w:start="-15" w:end="0"/>
              <w:rPr/>
            </w:pPr>
            <w:r>
              <w:rPr>
                <w:rStyle w:val="boldcopy1"/>
              </w:rPr>
              <w:t>YOU SHOULD READ THIS LEGAL AND PRIVACY STATEMENT BEFORE USING THIS WEBSITE. By continuing to access or use this website, you expressly acknowledge and agree to the terms and conditions set forth in this Legal and Privacy statement. Enron reserves the right to modify this Legal and Privacy statement at any time, so you should review these terms and conditions whenever accessing or using this website. By using the website after the posting of modifications to the terms and conditions set forth in this Legal and Privacy statement, you signify your acceptance of such terms and conditions, as modified. You may not use this website if, at any time, you do not wish to accept the terms and conditions as set forth in this Legal and Privacy statement.</w:t>
            </w:r>
            <w:r>
              <w:rPr>
                <w:rFonts w:cs="Arial" w:ascii="Arial" w:hAnsi="Arial"/>
                <w:sz w:val="18"/>
                <w:szCs w:val="18"/>
              </w:rPr>
              <w:t xml:space="preserve">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All information and material including images, text and audio on this website is the property of Enron Corp. and/or its subsidiaries (and/or its or its subsidiaries' licensors) (collectively "Enron") and is subject to copyright. EnronOnline, EnronOnline.com, Trading Innovation, Endless possibilities, Enron.com, Enron, Enron &amp; design, Enron Corp., Enron Corp. &amp; design, Enron with fanciful E, Enron with fanciful E (color), Natural gas, Electricity, Endless possibilities, Socket and flame logo are all trademarks owned by Enron Corp. All other trade 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this Legal and Privacy statement. Any sale, transmission or redistribution of this website or its content, and any copying, modification or other use of this website or its content for any purposes other than your own internal business purposes, are strictly prohibited.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Enron as between you and Enron. Except as specifically permitted by the terms of this Legal and Privacy statement, you shall not use the Intellectual Property Rights or the website, or any derivations thereof, for any purpose, without Enron's prior written approval. You agree to protect the proprietary rights of Enron and all others having rights in the website and to comply with all reasonable written requests made by Enron or its suppliers of content or otherwise ("Suppliers") to protect their and others' contractual, statutory and common law rights in the website. You agree to provide Enron with prompt written notice of any unauthorized access or use of the website by any party or of any claim that the website infringes upon any copyright, trademark or other contractual, statutory or common law rights.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This website is provided solely for information purposes and, with the exception of this "Legal and Privacy" statement, is not intended to, and shall not, constitute any offer or acceptance with the respect to any transactions or other matters. Except for this Legal and Privacy statement, this website shall not create any legal relationship between you and Enron, unless you have signed a Password Application, in which case the Password Application and Electronic Trading Agreement, and all terms and conditions referred to therein, shall govern your access and utilization of this website. Copies of the Electronic Trading Agreement may be obtained through the "Contact Us" Section of this website.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Enron will not enter into transactions with persons who would be regarded as private customers under the rules of SFA. For Belgian residents: please note that, pursuant to the Belgian law of 14 July 1991 on Commercial Practices, this website is to be considered as being advertising (reclame/publicité).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This website and the information and material which it contains are subject to change at any time by Enron without notice and Enron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Enron does not warrant that the website is compatible with your equipment or that the website is free of errors, viruses or worms. In no event shall Enron be liable for any damage you may suffer as a result of such destructive features. All warranties, whether express or implied, are hereby excluded to the extent permitted by law.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Enron and its directors, officers, employees and agents shall, to the extent permitted by law, have no liability, contingent or otherwise, whether caused by the negligence of Enron, its employees, subcontractors, agents, Suppliers, or otherwise, to you or to third parties for the accuracy, timeliness, completeness, reliability, performance or continued availability of this website or for delays or omissions therein, including, but not limited to, inaccuracies or errors in or omissions from quotes and financial data. Enron shall have no responsibility to maintain the information or services made available on this website or to supply any corrections or updates in connection with such information or services. IN NO EVENT WILL ENRON, ITS SUPPLIERS, OR ITS THIRD PARTY AGENTS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 EVEN IF ENRON HAS BEEN ADVISED OF THE POSSIBILITY OF SUCH DAMAGES. Any limitations or restrictions on liability in this Legal and Privacy statement shall only apply to the extent permitted by applicable law. In no event shall Enron's total liability to you for all damages, losses and causes of action (whether in contract or tort, including but not limited to, negligence) exceed the amount paid by you to Enron, if any, for accessing this website.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 entering into any transactions in the products described in this website, Enron is acting solely in the capacity of an arm's length contractual counterparty and not as a financial advisor or a fiduciary. Under no circumstances should Enron be considered your advisor or fiduciary and, if you require advice with respect to the products identified in this website or any contemplated transactions, you should consult your own business, financial, accounting or legal advisors.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YOU MAY NOT COPY, REPRODUCE, RECOMPILE, DECOMPILE, DISASSEMBLE, REVERSE ENGINEER, DISTRIBUTE, PUBLISH, DISPLAY, PERFORM, MODIFY, UPLOAD TO, CREATE DERIVATIVE WORKS FROM, TRANSMIT OR IN ANY WAY EXPLOIT ALL OR ANY PART OF THE WEBSITE, EXCEPT AS EXPRESSLY PROVIDED IN THIS LEGAL AND PRIVACY STATEMENT. THE CONTENTS OF THE WEBSITE MAY NOT BE RECIRCULATED, REDISTRIBUTED OR PUBLISHED BY YOU WITHOUT ENRON'S PRIOR WRITTEN CONSENT. MODIFICATION OF THE WEBSITE CONTENT WOULD BE A VIOLATION OF ENRON'S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ENRON. YOU MAY NOT USE ANY OF ENRON'S TRADEMARKS, TRADE NAMES OR SERVICE MARKS IN A MANNER THAT SUGGESTS THAT SUCH NAMES AND MARKS BELONG TO OR ARE ASSOCIATED WITH YOU OR ARE USED WITH ENRON'S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This website may provide links to certain websites sponsored and maintained by third parties. Such websites are publicly available and Enron is providing access to such websites through this website solely as a convenience to you. The content of other websites, services, goods or advertisements that may be linked to this website is not maintained or controlled by Enron, and Enron makes no representations or warranties concerning the content of such websites and the fact that access to such websites is provided does not constitute any endorsement, authorization or sponsorship of such websites or their sponsors by Enron nor is there any affiliation between Enron and such sponsors and such sponsors do not endorse, authorize or sponsor this website. Moreover, Enron is in no way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 You understand and agree that you will use or rely on such websites solely at your own risk and that Enron does not grant to you any rights in respect of such websites.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When you use the website, access to certain news and information provided by Dow Jones &amp; Company (the "Dow Jones Information") may be made available to you. The Dow Jones Information is the sole and exclusive property of Dow Jones or its licensor. By accessing the Dow Jones Information, you agree to be bound by the following terms and conditions: </w:t>
            </w:r>
          </w:p>
          <w:p>
            <w:pPr>
              <w:pStyle w:val="Normal"/>
              <w:numPr>
                <w:ilvl w:val="1"/>
                <w:numId w:val="1"/>
              </w:numPr>
              <w:spacing w:before="100" w:after="240"/>
              <w:rPr>
                <w:rFonts w:ascii="Arial" w:hAnsi="Arial" w:cs="Arial"/>
                <w:sz w:val="18"/>
                <w:szCs w:val="18"/>
              </w:rPr>
            </w:pPr>
            <w:r>
              <w:rPr>
                <w:rFonts w:cs="Arial" w:ascii="Arial" w:hAnsi="Arial"/>
                <w:sz w:val="18"/>
                <w:szCs w:val="18"/>
              </w:rPr>
              <w:t>Neither Dow Jones nor any of its licensors or affiliates guarantees the timeliness, sequence, accuracy or completeness of the Dow Jones Information;</w:t>
            </w:r>
          </w:p>
          <w:p>
            <w:pPr>
              <w:pStyle w:val="Normal"/>
              <w:numPr>
                <w:ilvl w:val="1"/>
                <w:numId w:val="1"/>
              </w:numPr>
              <w:spacing w:before="100" w:after="240"/>
              <w:rPr>
                <w:rFonts w:ascii="Arial" w:hAnsi="Arial" w:cs="Arial"/>
                <w:sz w:val="18"/>
                <w:szCs w:val="18"/>
              </w:rPr>
            </w:pPr>
            <w:r>
              <w:rPr>
                <w:rFonts w:cs="Arial" w:ascii="Arial" w:hAnsi="Arial"/>
                <w:sz w:val="18"/>
                <w:szCs w:val="18"/>
              </w:rPr>
              <w:t xml:space="preserve">THE DOW JONES INFORMATION IS PROVIDED "AS IS". NEITHER DOW JONES NOR ANY OF ITS LICENSORS OR AFFILIATES SHALL BE LIABLE TO YOU OR TO ANY OTHER PERSON FOR ANY LOSS OR DAMAGE ARISING FROM INACCURACIES, ERRORS, OMISSIONS, DELAYS, INTERRUPTIONS OR NON-PERFORMANCE DUE TO ANY NEGLIGENT ACT OR OMISSION OF DOW JONES OR ANY OF ITS LICENSORS OR AFFILIATES.; </w:t>
            </w:r>
          </w:p>
          <w:p>
            <w:pPr>
              <w:pStyle w:val="Normal"/>
              <w:numPr>
                <w:ilvl w:val="1"/>
                <w:numId w:val="1"/>
              </w:numPr>
              <w:spacing w:before="100" w:after="240"/>
              <w:rPr>
                <w:rFonts w:ascii="Arial" w:hAnsi="Arial" w:cs="Arial"/>
                <w:sz w:val="18"/>
                <w:szCs w:val="18"/>
              </w:rPr>
            </w:pPr>
            <w:r>
              <w:rPr>
                <w:rFonts w:cs="Arial" w:ascii="Arial" w:hAnsi="Arial"/>
                <w:sz w:val="18"/>
                <w:szCs w:val="18"/>
              </w:rPr>
              <w:t xml:space="preserve">Neither Dow Jones nor any of its licensors or affiliates may be held liable for any discontinuance in the provision of the Dow Jones Information or for any change in the manner of distribution for any reason; </w:t>
            </w:r>
          </w:p>
          <w:p>
            <w:pPr>
              <w:pStyle w:val="Normal"/>
              <w:numPr>
                <w:ilvl w:val="1"/>
                <w:numId w:val="1"/>
              </w:numPr>
              <w:spacing w:before="100" w:after="240"/>
              <w:rPr>
                <w:rFonts w:ascii="Arial" w:hAnsi="Arial" w:cs="Arial"/>
                <w:sz w:val="18"/>
                <w:szCs w:val="18"/>
              </w:rPr>
            </w:pPr>
            <w:r>
              <w:rPr>
                <w:rFonts w:cs="Arial" w:ascii="Arial" w:hAnsi="Arial"/>
                <w:sz w:val="18"/>
                <w:szCs w:val="18"/>
              </w:rPr>
              <w:t xml:space="preserve">The Dow Jones Information is made available solely for your personal use and you are prohibited from furnishing such information to any other person or entity; </w:t>
            </w:r>
          </w:p>
          <w:p>
            <w:pPr>
              <w:pStyle w:val="Normal"/>
              <w:numPr>
                <w:ilvl w:val="1"/>
                <w:numId w:val="1"/>
              </w:numPr>
              <w:spacing w:before="100" w:after="240"/>
              <w:rPr>
                <w:rFonts w:ascii="Arial" w:hAnsi="Arial" w:cs="Arial"/>
                <w:sz w:val="18"/>
                <w:szCs w:val="18"/>
              </w:rPr>
            </w:pPr>
            <w:r>
              <w:rPr>
                <w:rFonts w:cs="Arial" w:ascii="Arial" w:hAnsi="Arial"/>
                <w:sz w:val="18"/>
                <w:szCs w:val="18"/>
              </w:rPr>
              <w:t xml:space="preserve">At any time, Dow Jones or its distributor may terminate your access to the Dow Jones Information; and </w:t>
            </w:r>
          </w:p>
          <w:p>
            <w:pPr>
              <w:pStyle w:val="Normal"/>
              <w:numPr>
                <w:ilvl w:val="1"/>
                <w:numId w:val="1"/>
              </w:numPr>
              <w:spacing w:before="100" w:after="100"/>
              <w:rPr>
                <w:rFonts w:ascii="Arial" w:hAnsi="Arial" w:cs="Arial"/>
                <w:sz w:val="18"/>
                <w:szCs w:val="18"/>
              </w:rPr>
            </w:pPr>
            <w:r>
              <w:rPr>
                <w:rFonts w:cs="Arial" w:ascii="Arial" w:hAnsi="Arial"/>
                <w:sz w:val="18"/>
                <w:szCs w:val="18"/>
              </w:rPr>
              <w:t xml:space="preserve">Dow Jones is a third-party beneficiary under this Legal and Privacy statement and is entitled to enforce the terms of this Legal and Privacy statement by legal proceeding or otherwise against you or any person or entity that gains access to the Dow Jones Information other than as this Legal and Privacy statement contemplates. You shall pay the reasonable attorney's fees that Dow Jones may incur in so enforcing the terms of this Legal and Privacy statement. </w:t>
            </w:r>
          </w:p>
          <w:p>
            <w:pPr>
              <w:pStyle w:val="Normal"/>
              <w:spacing w:before="100" w:after="100"/>
              <w:ind w:start="720" w:end="0"/>
              <w:rPr>
                <w:rFonts w:ascii="Arial" w:hAnsi="Arial" w:cs="Arial"/>
                <w:sz w:val="18"/>
                <w:szCs w:val="18"/>
              </w:rPr>
            </w:pPr>
            <w:r>
              <w:rPr>
                <w:rFonts w:cs="Arial" w:ascii="Arial" w:hAnsi="Arial"/>
                <w:sz w:val="18"/>
                <w:szCs w:val="18"/>
              </w:rPr>
            </w:r>
          </w:p>
          <w:p>
            <w:pPr>
              <w:pStyle w:val="Normal"/>
              <w:numPr>
                <w:ilvl w:val="0"/>
                <w:numId w:val="1"/>
              </w:numPr>
              <w:spacing w:before="100" w:after="240"/>
              <w:rPr>
                <w:rFonts w:ascii="Arial" w:hAnsi="Arial" w:cs="Arial"/>
                <w:sz w:val="18"/>
                <w:szCs w:val="18"/>
              </w:rPr>
            </w:pPr>
            <w:r>
              <w:rPr>
                <w:rFonts w:cs="Arial" w:ascii="Arial" w:hAnsi="Arial"/>
                <w:sz w:val="18"/>
                <w:szCs w:val="18"/>
              </w:rPr>
              <w:t>DOW JONES AND ITS AFFILIATES, ITS SOURCES, THE CBOT (OR OTHER DISTRIBUTION AGENT) AND ITS AFFILIATES, AND EACH OF THEIR RESPECTIVE OFFICERS, DIRECTORS, MEMBERS, EMPLOYEES, AGENTS, REPRESENTATIVES (“THE DOW JONES PARTIES”) SHALL NOT BE LIABLE TO VENDOR OR ANY SUBVENDOR OR SUBSCRIBER FOR ANY LOSS OR DAMAGE, DIRECT, INDIRECT OR CONSEQUENTIAL, ARISING FROM (i) ANY INACCURACY OR INCOMPLETENESS IN, OR DELAYS, INTERRUPTIONS, ERRORS OR OMISSIONS IN THE DELIVERY OF, THE INDEXES OR ANY OTHER INFORMATION SUPPLIED TO VENDOR, SUBVENDORS OR SUBSCRIBERS (“THE INDEX DATA”) OR (ii) ANY DECISION MADE OR ACTION TAKEN BY VENDOR OR ANY SUBVENDOR OR SUBSCRIBER IN RELIANCE UPON THE INDEX DATA. THE DOW JONES PARTIES SHALL NOT BE LIABLE TO VENDOR OR ANY SUBVENDOR OR SUBSCRIBER FOR LOSS OF BUSINESS REVENUES, LOST PROFITS OR ANY PUNITIVE, INDIRECT, CONSEQUENTIAL, SPECIAL OR SIMILAR DAMAGES WHATSOEVER, WHETHER IN CONTRACT, TORT OR OTHERWISE, EVEN IF ADVISED OF THE POSSIBILITY OF SUCH DAMAGES. IN NO EVENT SHALL THE CUMULATIVE LIABILITY OF THE DOW JONES PARTIES ARISING OUT OF ANY LEGAL CLAIM IN ANY WAY CONNECTED TO THE INDEX DATA EXCEED THE VENDOR FEES PAID BY VENDOR HEREUNDER DURING THE TWELVE (12) MONTHS PRIOR TO THE INCIDENT GIVING RISE TO SUCH CLAIM.</w:t>
              <w:br/>
              <w:br/>
              <w:t>VENDOR EXPRESSLY ACKNOWLEDGES THAT THE DOW JONES PARTIES DO NOT MAKE ANY WARRANTIES, EXPRESS OR IMPLIED, TO VENDOR OR ANY SUBVENDORS OR SUBSCRIBERS WITH RESPECT TO THE INDEX DATA, INCLUDING, WITHOUT LIMITATION: (i) ANY WARRANTIES WITH RESPECT TO THE TIMELINESS, SEQUENCE, ACCURACY, COMPLETENESS, CURRENTNESS, MERCHANTABILITY, QUALITY OR FITNESS FOR A PARTICULAR PURPOSE OF THE INDEX DATA OR (ii) ANY WARRANTIES AS TO THE RESULTS TO BE OBTAINED BY VENDOR, ANY SUBVENDOR OR SUBSCRIBER, OR ANY OTHER PERSON OR ENTITY IN CONNECTION WITH THE USE OF THE INDEX DATA.</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thereof. Reuters, the Reuters Logo and the Sphere Logo are registered trademarks of the Reuters group of companies around the world. For additional information on other Reuters Services please visit the Reuters public web site - </w:t>
            </w:r>
            <w:hyperlink r:id="rId2" w:tgtFrame="_new">
              <w:r>
                <w:rPr>
                  <w:rStyle w:val="Hyperlink"/>
                  <w:rFonts w:cs="Arial" w:ascii="Arial" w:hAnsi="Arial"/>
                  <w:sz w:val="18"/>
                  <w:szCs w:val="18"/>
                </w:rPr>
                <w:t>http://www.reuters.com</w:t>
              </w:r>
            </w:hyperlink>
            <w:r>
              <w:rPr>
                <w:rFonts w:cs="Arial" w:ascii="Arial" w:hAnsi="Arial"/>
                <w:sz w:val="18"/>
                <w:szCs w:val="18"/>
              </w:rPr>
              <w:t xml:space="preserve">.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In the course of your use of this website, you may provide, or Enron may otherwise obtain, information about you or your business activities. By using this website, you expressly consent to Enron (1) using this information to assess the function and performance of this website, to assess the needs of its customers, to market Enron's products and services and for the other purposes set out in this paragraph 14, and (2) transferring this data to Enron subsidiaries throughout the world for the purposes specified in (1) above. Any information which you provide or which Enron otherwise obtains will be used solely by Enron and will not be sold or made available to third parties, with the exception of the third parties providing data processing or similar services to Enron, or in connection with Enron's provision or marketing of products and services to you.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 </w:t>
            </w:r>
          </w:p>
          <w:p>
            <w:pPr>
              <w:pStyle w:val="Normal"/>
              <w:numPr>
                <w:ilvl w:val="0"/>
                <w:numId w:val="1"/>
              </w:numPr>
              <w:spacing w:before="100" w:after="240"/>
              <w:rPr>
                <w:rFonts w:ascii="Arial" w:hAnsi="Arial" w:cs="Arial"/>
                <w:sz w:val="18"/>
                <w:szCs w:val="18"/>
              </w:rPr>
            </w:pPr>
            <w:r>
              <w:rPr>
                <w:rFonts w:cs="Arial" w:ascii="Arial" w:hAnsi="Arial"/>
                <w:sz w:val="18"/>
                <w:szCs w:val="18"/>
              </w:rPr>
              <w:t xml:space="preserve">You agree, at your own expense, to indemnify, defend and hold harmless Enron and its employees, representatives, Suppliers and agents, against any claim, suit, action or other proceeding against Enron, its employees, representatives, Suppliers and agents,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this Legal and Privacy statement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 </w:t>
            </w:r>
          </w:p>
          <w:p>
            <w:pPr>
              <w:pStyle w:val="Normal"/>
              <w:numPr>
                <w:ilvl w:val="0"/>
                <w:numId w:val="1"/>
              </w:numPr>
              <w:spacing w:before="100" w:after="240"/>
              <w:rPr>
                <w:rFonts w:ascii="Arial" w:hAnsi="Arial" w:cs="Arial"/>
                <w:sz w:val="18"/>
                <w:szCs w:val="18"/>
              </w:rPr>
            </w:pPr>
            <w:r>
              <w:rPr>
                <w:rFonts w:cs="Arial" w:ascii="Arial" w:hAnsi="Arial"/>
                <w:sz w:val="18"/>
                <w:szCs w:val="18"/>
              </w:rPr>
              <w:t>If you are accessing this website from North America, South America or Japan, the terms of this Legal and Privacy statement shall be governed by the laws of the State of New York; if you are accessing this website from any other location, its terms shall be governed by English law.</w:t>
            </w:r>
          </w:p>
          <w:p>
            <w:pPr>
              <w:pStyle w:val="Normal"/>
              <w:numPr>
                <w:ilvl w:val="0"/>
                <w:numId w:val="1"/>
              </w:numPr>
              <w:spacing w:before="100" w:after="100"/>
              <w:rPr>
                <w:rFonts w:ascii="Arial" w:hAnsi="Arial" w:cs="Arial"/>
                <w:sz w:val="18"/>
                <w:szCs w:val="18"/>
              </w:rPr>
            </w:pPr>
            <w:r>
              <w:rPr>
                <w:rFonts w:cs="Arial" w:ascii="Arial" w:hAnsi="Arial"/>
                <w:sz w:val="18"/>
                <w:szCs w:val="18"/>
              </w:rPr>
              <w:t xml:space="preserve">EnronOnline is conducting a pilot program involving direct access connections (such as a "T1" line or other means of direct access) to EnronOnline, as an alternative to internet access. Direct access connections might enable users to access EnronOnline more quickly than is currently possible through internet access. </w:t>
            </w:r>
          </w:p>
          <w:p>
            <w:pPr>
              <w:pStyle w:val="NormalWeb"/>
              <w:spacing w:before="0" w:after="0"/>
              <w:rPr>
                <w:rFonts w:ascii="Arial" w:hAnsi="Arial" w:cs="Arial"/>
                <w:sz w:val="18"/>
                <w:szCs w:val="18"/>
              </w:rPr>
            </w:pPr>
            <w:r>
              <w:rPr>
                <w:rStyle w:val="tablecopy1"/>
              </w:rPr>
              <w:t>Updated 9/18/00</w:t>
            </w:r>
            <w:r>
              <w:rPr>
                <w:rFonts w:cs="Arial" w:ascii="Arial" w:hAnsi="Arial"/>
                <w:sz w:val="18"/>
                <w:szCs w:val="18"/>
              </w:rPr>
              <w:br/>
              <w:br/>
            </w:r>
            <w:r>
              <w:rPr>
                <w:rStyle w:val="smallcopy1"/>
              </w:rPr>
              <w:t>©1999-2001 Enron Corp. All rights reserved.</w:t>
            </w:r>
          </w:p>
        </w:tc>
      </w:tr>
    </w:tbl>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00"/>
      <w:u w:val="single"/>
    </w:rPr>
  </w:style>
  <w:style w:type="character" w:styleId="boldcopy1">
    <w:name w:val="boldcopy1"/>
    <w:basedOn w:val="DefaultParagraphFont"/>
    <w:qFormat/>
    <w:rPr>
      <w:rFonts w:ascii="Arial" w:hAnsi="Arial" w:cs="Arial"/>
      <w:b/>
      <w:bCs/>
      <w:color w:val="000000"/>
      <w:sz w:val="18"/>
      <w:szCs w:val="18"/>
    </w:rPr>
  </w:style>
  <w:style w:type="character" w:styleId="tablecopy1">
    <w:name w:val="tablecopy1"/>
    <w:basedOn w:val="DefaultParagraphFont"/>
    <w:qFormat/>
    <w:rPr>
      <w:rFonts w:ascii="Arial" w:hAnsi="Arial" w:cs="Arial"/>
      <w:color w:val="000000"/>
      <w:sz w:val="14"/>
      <w:szCs w:val="14"/>
    </w:rPr>
  </w:style>
  <w:style w:type="character" w:styleId="smallcopy1">
    <w:name w:val="smallcopy1"/>
    <w:basedOn w:val="DefaultParagraphFont"/>
    <w:qFormat/>
    <w:rPr>
      <w:rFonts w:ascii="Arial" w:hAnsi="Arial" w:cs="Arial"/>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uter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2001-05-10T12:12:00Z</dcterms:created>
  <dc:creator>fdavis</dc:creator>
  <dc:description/>
  <dc:language>en-CA</dc:language>
  <cp:lastModifiedBy>fdavis</cp:lastModifiedBy>
  <cp:lastPrinted>2001-05-10T09:49:00Z</cp:lastPrinted>
  <dcterms:modified xsi:type="dcterms:W3CDTF">2001-05-10T12:23:00Z</dcterms:modified>
  <cp:revision>2</cp:revision>
  <dc:subject/>
  <dc:title>YOU SHOULD READ THIS LEGAL AND PRIVACY STATEMENT BEFORE USING THIS WEBSITE</dc:title>
</cp:coreProperties>
</file>