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1"/>
        <w:ind w:hanging="0" w:start="0"/>
        <w:jc w:val="end"/>
        <w:rPr>
          <w:rFonts w:ascii="Arial" w:hAnsi="Arial" w:cs="Arial"/>
          <w:u w:val="none"/>
        </w:rPr>
      </w:pPr>
      <w:r>
        <w:rPr>
          <w:rFonts w:cs="Arial" w:ascii="Arial" w:hAnsi="Arial"/>
          <w:u w:val="none"/>
        </w:rPr>
        <w:t>October 20, 2000</w:t>
      </w:r>
    </w:p>
    <w:p>
      <w:pPr>
        <w:pStyle w:val="Heading1"/>
        <w:ind w:hanging="0" w:start="0"/>
        <w:rPr>
          <w:rFonts w:ascii="Arial" w:hAnsi="Arial" w:cs="Arial"/>
          <w:sz w:val="22"/>
          <w:u w:val="none"/>
        </w:rPr>
      </w:pPr>
      <w:r>
        <w:rPr>
          <w:rFonts w:cs="Arial" w:ascii="Arial" w:hAnsi="Arial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b w:val="false"/>
          <w:sz w:val="22"/>
          <w:u w:val="none"/>
        </w:rPr>
      </w:pPr>
      <w:r>
        <w:rPr>
          <w:rFonts w:cs="Arial" w:ascii="Arial" w:hAnsi="Arial"/>
          <w:b w:val="false"/>
          <w:sz w:val="22"/>
          <w:u w:val="none"/>
        </w:rPr>
      </w:r>
    </w:p>
    <w:p>
      <w:pPr>
        <w:pStyle w:val="Heading1"/>
        <w:ind w:hanging="0" w:start="0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  <w:t>ENRONONLINE KEY MESSAGES:</w:t>
      </w:r>
    </w:p>
    <w:p>
      <w:pPr>
        <w:pStyle w:val="Normal"/>
        <w:rPr>
          <w:rFonts w:ascii="Arial" w:hAnsi="Arial" w:cs="Arial"/>
          <w:sz w:val="24"/>
          <w:u w:val="none"/>
        </w:rPr>
      </w:pPr>
      <w:r>
        <w:rPr>
          <w:rFonts w:cs="Arial" w:ascii="Arial" w:hAnsi="Arial"/>
          <w:sz w:val="24"/>
          <w:u w:val="none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6"/>
        </w:numPr>
        <w:rPr/>
      </w:pPr>
      <w:r>
        <w:rPr>
          <w:sz w:val="24"/>
        </w:rPr>
        <w:t>In less than ten months, EnronOnline has grown into the world’s largest e-commerce website surpassing the $150 billion mark in September representing over 300,000 transactions.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1"/>
        </w:numPr>
        <w:rPr/>
      </w:pPr>
      <w:r>
        <w:rPr>
          <w:sz w:val="24"/>
        </w:rPr>
        <w:t>EnronOnline completes an average of 2,500 transactions per day worth over $ 1. 7 billion per day.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7"/>
        </w:numPr>
        <w:rPr/>
      </w:pPr>
      <w:r>
        <w:rPr>
          <w:sz w:val="24"/>
        </w:rPr>
        <w:t>EnronOnline offers the greatest breadth of commodity products on the Internet.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8"/>
        </w:numPr>
        <w:rPr>
          <w:sz w:val="24"/>
        </w:rPr>
      </w:pPr>
      <w:r>
        <w:rPr>
          <w:sz w:val="24"/>
        </w:rPr>
        <w:t>EnronOnline offers a more efficient channel for customers to transact with Enron and a simple alternative to more traditional means like the telephone.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2"/>
        </w:numPr>
        <w:rPr/>
      </w:pPr>
      <w:r>
        <w:rPr>
          <w:sz w:val="24"/>
        </w:rPr>
        <w:t>EnronOnline provides price discovery and transactions free of charge.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3"/>
        </w:numPr>
        <w:rPr/>
      </w:pPr>
      <w:r>
        <w:rPr>
          <w:sz w:val="24"/>
        </w:rPr>
        <w:t>EnronOnline’s customers can view the full contractual terms, bid and offer prices, and available volumes for hundreds of commodity products traded by Enron around the world.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4"/>
        </w:numPr>
        <w:rPr/>
      </w:pPr>
      <w:r>
        <w:rPr>
          <w:sz w:val="24"/>
        </w:rPr>
        <w:t>EnronOnline transacts in electricity, natural gas, coal, pulp and paper, emissions credits, bandwidth, weather derivatives, credit derivatives, petrochemicals and plastics, metals, crude oil and refined products markets.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9"/>
        </w:numPr>
        <w:rPr/>
      </w:pPr>
      <w:r>
        <w:rPr>
          <w:sz w:val="24"/>
        </w:rPr>
        <w:t>EnronOnline is supported by hundreds of Enron traders around the world who post real-time prices on the system during market hours.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5"/>
        </w:numPr>
        <w:rPr/>
      </w:pPr>
      <w:r>
        <w:rPr>
          <w:sz w:val="24"/>
        </w:rPr>
        <w:t>Since EnronOnline is a principal-based system, transacting customers can be confident that they are dealing directly with Enron.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10"/>
        </w:numPr>
        <w:rPr/>
      </w:pPr>
      <w:r>
        <w:rPr>
          <w:sz w:val="24"/>
        </w:rPr>
        <w:t>EnronOnline’s 24-hour HelpDesk provides customer support in over 140 languages.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2"/>
        </w:numPr>
        <w:rPr/>
      </w:pPr>
      <w:r>
        <w:rPr>
          <w:sz w:val="24"/>
        </w:rPr>
        <w:t>EnronOnline was launched on Nov. 29, 1999.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numPr>
          <w:ilvl w:val="0"/>
          <w:numId w:val="3"/>
        </w:numPr>
        <w:rPr/>
      </w:pPr>
      <w:r>
        <w:rPr>
          <w:sz w:val="24"/>
        </w:rPr>
        <w:t>EnronOnline successfully leverages Enron’s extensive global networks of assets, people and contractual relationships. It took Enron only seven months to develop EnronOnline.</w:t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>
          <w:sz w:val="24"/>
        </w:rPr>
      </w:pPr>
      <w:r>
        <w:rPr>
          <w:sz w:val="24"/>
        </w:rPr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p>
      <w:pPr>
        <w:pStyle w:val="Normal"/>
        <w:rPr>
          <w:b/>
          <w:u w:val="single"/>
        </w:rPr>
      </w:pPr>
      <w:r>
        <w:rPr>
          <w:b/>
          <w:u w:val="single"/>
        </w:rPr>
      </w:r>
    </w:p>
    <w:sectPr>
      <w:type w:val="nextPage"/>
      <w:pgSz w:w="12240" w:h="15840"/>
      <w:pgMar w:left="1800" w:right="1800" w:gutter="0" w:header="0" w:top="1440" w:footer="0" w:bottom="144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Heading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1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2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3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4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5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6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7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  <w:lvl w:ilvl="8">
      <w:start w:val="1"/>
      <w:numFmt w:val="none"/>
      <w:suff w:val="nothing"/>
      <w:lvlText w:val=""/>
      <w:lvlJc w:val="start"/>
      <w:pPr>
        <w:tabs>
          <w:tab w:val="num" w:pos="0"/>
        </w:tabs>
        <w:ind w:start="0" w:hanging="0"/>
      </w:pPr>
    </w:lvl>
  </w:abstractNum>
  <w:abstractNum w:abstractNumId="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4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5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6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7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8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9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0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1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2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abstractNum w:abstractNumId="13">
    <w:lvl w:ilvl="0">
      <w:start w:val="1"/>
      <w:numFmt w:val="bullet"/>
      <w:lvlText w:val=""/>
      <w:lvlJc w:val="start"/>
      <w:pPr>
        <w:tabs>
          <w:tab w:val="num" w:pos="360"/>
        </w:tabs>
        <w:ind w:start="360" w:hanging="360"/>
      </w:pPr>
      <w:rPr>
        <w:rFonts w:ascii="Symbol" w:hAnsi="Symbol" w:cs="Symbol" w:hint="default"/>
        <w:color w:val="auto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w="http://schemas.openxmlformats.org/wordprocessingml/2006/main">
  <w:zoom w:percent="100"/>
  <w:defaultTabStop w:val="720"/>
  <w:autoHyphenation w:val="true"/>
  <w:hyphenationZone w:val="0"/>
  <w:compat>
    <w:doNotExpandShiftReturn/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bidi w:val="0"/>
    </w:pPr>
    <w:rPr>
      <w:rFonts w:ascii="Times New Roman" w:hAnsi="Times New Roman" w:eastAsia="Times New Roman" w:cs="Times New Roman"/>
      <w:color w:val="auto"/>
      <w:sz w:val="20"/>
      <w:szCs w:val="20"/>
      <w:lang w:val="en-US" w:eastAsia="zh-CN" w:bidi="hi-IN"/>
    </w:rPr>
  </w:style>
  <w:style w:type="paragraph" w:styleId="Heading1">
    <w:name w:val="heading 1"/>
    <w:basedOn w:val="Normal"/>
    <w:next w:val="Normal"/>
    <w:qFormat/>
    <w:pPr>
      <w:keepNext w:val="true"/>
      <w:numPr>
        <w:ilvl w:val="0"/>
        <w:numId w:val="1"/>
      </w:numPr>
      <w:outlineLvl w:val="0"/>
    </w:pPr>
    <w:rPr>
      <w:b/>
      <w:u w:val="single"/>
    </w:rPr>
  </w:style>
  <w:style w:type="character" w:styleId="WW8Num1z0">
    <w:name w:val="WW8Num1z0"/>
    <w:qFormat/>
    <w:rPr>
      <w:rFonts w:ascii="Symbol" w:hAnsi="Symbol" w:cs="Symbol"/>
      <w:color w:val="auto"/>
    </w:rPr>
  </w:style>
  <w:style w:type="character" w:styleId="WW8Num2z0">
    <w:name w:val="WW8Num2z0"/>
    <w:qFormat/>
    <w:rPr>
      <w:rFonts w:ascii="Symbol" w:hAnsi="Symbol" w:cs="Symbol"/>
      <w:color w:val="auto"/>
    </w:rPr>
  </w:style>
  <w:style w:type="character" w:styleId="WW8Num3z0">
    <w:name w:val="WW8Num3z0"/>
    <w:qFormat/>
    <w:rPr>
      <w:rFonts w:ascii="Symbol" w:hAnsi="Symbol" w:cs="Symbol"/>
      <w:color w:val="auto"/>
    </w:rPr>
  </w:style>
  <w:style w:type="character" w:styleId="WW8Num4z0">
    <w:name w:val="WW8Num4z0"/>
    <w:qFormat/>
    <w:rPr>
      <w:rFonts w:ascii="Symbol" w:hAnsi="Symbol" w:cs="Symbol"/>
      <w:color w:val="auto"/>
    </w:rPr>
  </w:style>
  <w:style w:type="character" w:styleId="WW8Num5z0">
    <w:name w:val="WW8Num5z0"/>
    <w:qFormat/>
    <w:rPr>
      <w:rFonts w:ascii="Symbol" w:hAnsi="Symbol" w:cs="Symbol"/>
      <w:color w:val="auto"/>
    </w:rPr>
  </w:style>
  <w:style w:type="character" w:styleId="WW8Num6z0">
    <w:name w:val="WW8Num6z0"/>
    <w:qFormat/>
    <w:rPr>
      <w:rFonts w:ascii="Symbol" w:hAnsi="Symbol" w:cs="Symbol"/>
      <w:color w:val="auto"/>
    </w:rPr>
  </w:style>
  <w:style w:type="character" w:styleId="WW8Num7z0">
    <w:name w:val="WW8Num7z0"/>
    <w:qFormat/>
    <w:rPr>
      <w:rFonts w:ascii="Symbol" w:hAnsi="Symbol" w:cs="Symbol"/>
      <w:color w:val="auto"/>
    </w:rPr>
  </w:style>
  <w:style w:type="character" w:styleId="WW8Num8z0">
    <w:name w:val="WW8Num8z0"/>
    <w:qFormat/>
    <w:rPr>
      <w:rFonts w:ascii="Symbol" w:hAnsi="Symbol" w:cs="Symbol"/>
      <w:color w:val="auto"/>
    </w:rPr>
  </w:style>
  <w:style w:type="character" w:styleId="WW8Num9z0">
    <w:name w:val="WW8Num9z0"/>
    <w:qFormat/>
    <w:rPr>
      <w:rFonts w:ascii="Symbol" w:hAnsi="Symbol" w:cs="Symbol"/>
      <w:color w:val="auto"/>
    </w:rPr>
  </w:style>
  <w:style w:type="character" w:styleId="WW8Num10z0">
    <w:name w:val="WW8Num10z0"/>
    <w:qFormat/>
    <w:rPr>
      <w:rFonts w:ascii="Symbol" w:hAnsi="Symbol" w:cs="Symbol"/>
      <w:color w:val="auto"/>
    </w:rPr>
  </w:style>
  <w:style w:type="character" w:styleId="WW8Num11z0">
    <w:name w:val="WW8Num11z0"/>
    <w:qFormat/>
    <w:rPr>
      <w:rFonts w:ascii="Symbol" w:hAnsi="Symbol" w:cs="Symbol"/>
      <w:color w:val="auto"/>
    </w:rPr>
  </w:style>
  <w:style w:type="character" w:styleId="WW8Num12z0">
    <w:name w:val="WW8Num12z0"/>
    <w:qFormat/>
    <w:rPr>
      <w:rFonts w:ascii="Symbol" w:hAnsi="Symbol" w:cs="Symbol"/>
      <w:color w:val="auto"/>
    </w:rPr>
  </w:style>
  <w:style w:type="character" w:styleId="WW8Num13z0">
    <w:name w:val="WW8Num13z0"/>
    <w:qFormat/>
    <w:rPr>
      <w:rFonts w:ascii="Symbol" w:hAnsi="Symbol" w:cs="Symbol"/>
      <w:color w:val="auto"/>
    </w:rPr>
  </w:style>
  <w:style w:type="character" w:styleId="WW8Num14z0">
    <w:name w:val="WW8Num14z0"/>
    <w:qFormat/>
    <w:rPr>
      <w:rFonts w:ascii="Symbol" w:hAnsi="Symbol" w:cs="Symbol"/>
      <w:color w:val="auto"/>
    </w:rPr>
  </w:style>
  <w:style w:type="character" w:styleId="DefaultParagraphFont">
    <w:name w:val="Default Paragraph Font"/>
    <w:qFormat/>
    <w:rPr/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  <w:style w:type="numbering" w:styleId="WW8Num12">
    <w:name w:val="WW8Num12"/>
    <w:qFormat/>
  </w:style>
  <w:style w:type="numbering" w:styleId="WW8Num13">
    <w:name w:val="WW8Num13"/>
    <w:qFormat/>
  </w:style>
  <w:style w:type="numbering" w:styleId="WW8Num14">
    <w:name w:val="WW8Num14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2000-10-23T19:52:00Z</dcterms:created>
  <dc:creator>lpacheco</dc:creator>
  <dc:description/>
  <dc:language>en-CA</dc:language>
  <cp:lastModifiedBy>lpacheco</cp:lastModifiedBy>
  <dcterms:modified xsi:type="dcterms:W3CDTF">2000-10-23T20:36:00Z</dcterms:modified>
  <cp:revision>5</cp:revision>
  <dc:subject/>
  <dc:title>June 28, 2000</dc:title>
</cp:coreProperties>
</file>