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Investment in HoustonStreet, Inc.</w:t>
      </w:r>
    </w:p>
    <w:p>
      <w:pPr>
        <w:pStyle w:val="Normal"/>
        <w:jc w:val="center"/>
        <w:rPr>
          <w:b/>
          <w:bCs/>
          <w:u w:val="single"/>
        </w:rPr>
      </w:pPr>
      <w:r>
        <w:rPr>
          <w:b/>
          <w:bCs/>
          <w:u w:val="single"/>
        </w:rPr>
      </w:r>
    </w:p>
    <w:p>
      <w:pPr>
        <w:pStyle w:val="Normal"/>
        <w:jc w:val="center"/>
        <w:rPr/>
      </w:pPr>
      <w:r>
        <w:rPr/>
        <w:t>(percentages of equity and rights retained by Enron)</w:t>
      </w:r>
    </w:p>
    <w:p>
      <w:pPr>
        <w:pStyle w:val="Normal"/>
        <w:rPr/>
      </w:pPr>
      <w:r>
        <w:rPr/>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1632"/>
        <w:gridCol w:w="1539"/>
        <w:gridCol w:w="1977"/>
        <w:gridCol w:w="2160"/>
        <w:gridCol w:w="2340"/>
      </w:tblGrid>
      <w:tr>
        <w:trPr/>
        <w:tc>
          <w:tcPr>
            <w:tcW w:w="16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t>Time</w:t>
            </w:r>
          </w:p>
          <w:p>
            <w:pPr>
              <w:pStyle w:val="Normal"/>
              <w:rPr>
                <w:b/>
                <w:bCs/>
                <w:u w:val="single"/>
              </w:rPr>
            </w:pPr>
            <w:r>
              <w:rPr>
                <w:b/>
                <w:bCs/>
                <w:u w:val="single"/>
              </w:rPr>
              <w:t xml:space="preserve"> </w:t>
            </w:r>
            <w:r>
              <w:rPr>
                <w:b/>
                <w:bCs/>
                <w:u w:val="single"/>
              </w:rPr>
              <w:t>of Termination</w:t>
            </w:r>
          </w:p>
          <w:p>
            <w:pPr>
              <w:pStyle w:val="Normal"/>
              <w:rPr>
                <w:b/>
                <w:bCs/>
                <w:u w:val="single"/>
              </w:rPr>
            </w:pPr>
            <w:r>
              <w:rPr>
                <w:b/>
                <w:bCs/>
                <w:u w:val="single"/>
              </w:rPr>
              <w:t>of</w:t>
            </w:r>
          </w:p>
          <w:p>
            <w:pPr>
              <w:pStyle w:val="Normal"/>
              <w:rPr>
                <w:b/>
                <w:bCs/>
                <w:u w:val="single"/>
              </w:rPr>
            </w:pPr>
            <w:r>
              <w:rPr>
                <w:b/>
                <w:bCs/>
                <w:u w:val="single"/>
              </w:rPr>
              <w:t xml:space="preserve"> </w:t>
            </w:r>
            <w:r>
              <w:rPr>
                <w:b/>
                <w:bCs/>
                <w:u w:val="single"/>
              </w:rPr>
              <w:t>Posting Agreement</w:t>
            </w:r>
          </w:p>
        </w:tc>
        <w:tc>
          <w:tcPr>
            <w:tcW w:w="1539"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Prior to Interface Completion Date</w:t>
            </w:r>
          </w:p>
        </w:tc>
        <w:tc>
          <w:tcPr>
            <w:tcW w:w="1977" w:type="dxa"/>
            <w:tcBorders>
              <w:top w:val="single" w:sz="4" w:space="0" w:color="000000"/>
              <w:start w:val="single" w:sz="4" w:space="0" w:color="000000"/>
              <w:bottom w:val="single" w:sz="4" w:space="0" w:color="000000"/>
              <w:end w:val="single" w:sz="4" w:space="0" w:color="000000"/>
            </w:tcBorders>
          </w:tcPr>
          <w:p>
            <w:pPr>
              <w:pStyle w:val="Normal"/>
              <w:rPr/>
            </w:pPr>
            <w:r>
              <w:rPr/>
              <w:t>50% with limited strategic investor rights (but no board seat) (primarily liquidity)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r>
      <w:tr>
        <w:trPr/>
        <w:tc>
          <w:tcPr>
            <w:tcW w:w="16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9"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0-12 months after Interface Completion Date</w:t>
            </w:r>
          </w:p>
        </w:tc>
        <w:tc>
          <w:tcPr>
            <w:tcW w:w="1977" w:type="dxa"/>
            <w:tcBorders>
              <w:top w:val="single" w:sz="4" w:space="0" w:color="000000"/>
              <w:start w:val="single" w:sz="4" w:space="0" w:color="000000"/>
              <w:bottom w:val="single" w:sz="4" w:space="0" w:color="000000"/>
              <w:end w:val="single" w:sz="4" w:space="0" w:color="000000"/>
            </w:tcBorders>
          </w:tcPr>
          <w:p>
            <w:pPr>
              <w:pStyle w:val="Normal"/>
              <w:rPr/>
            </w:pPr>
            <w:r>
              <w:rPr/>
              <w:t>100% with full strategic investor rights</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50% with limited strategic investor rights (but no board seat) (primarily liquidity)</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100% with limited strategic investor rights (but no board seat) (primarily liquidity)</w:t>
            </w:r>
          </w:p>
        </w:tc>
      </w:tr>
      <w:tr>
        <w:trPr/>
        <w:tc>
          <w:tcPr>
            <w:tcW w:w="16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9"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Any time after 12 months after Interface Completion Date</w:t>
            </w:r>
          </w:p>
        </w:tc>
        <w:tc>
          <w:tcPr>
            <w:tcW w:w="1977" w:type="dxa"/>
            <w:tcBorders>
              <w:top w:val="single" w:sz="4" w:space="0" w:color="000000"/>
              <w:start w:val="single" w:sz="4" w:space="0" w:color="000000"/>
              <w:bottom w:val="single" w:sz="4" w:space="0" w:color="000000"/>
              <w:end w:val="single" w:sz="4" w:space="0" w:color="000000"/>
            </w:tcBorders>
          </w:tcPr>
          <w:p>
            <w:pPr>
              <w:pStyle w:val="Normal"/>
              <w:rPr/>
            </w:pPr>
            <w:r>
              <w:rPr/>
              <w:t>100% with full strategic investor rights</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100% with limited strategic investor rights (but no board seat) (but full liquidity rights) </w:t>
            </w:r>
          </w:p>
          <w:p>
            <w:pPr>
              <w:pStyle w:val="Normal"/>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 xml:space="preserve">100% with limited strategic investor rights (but no board seat) (but full liquidity rights) </w:t>
            </w:r>
          </w:p>
          <w:p>
            <w:pPr>
              <w:pStyle w:val="Normal"/>
              <w:rPr/>
            </w:pPr>
            <w:r>
              <w:rPr/>
            </w:r>
          </w:p>
        </w:tc>
      </w:tr>
      <w:tr>
        <w:trPr/>
        <w:tc>
          <w:tcPr>
            <w:tcW w:w="16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9" w:type="dxa"/>
            <w:tcBorders>
              <w:top w:val="single" w:sz="4" w:space="0" w:color="000000"/>
              <w:start w:val="single" w:sz="4" w:space="0" w:color="000000"/>
              <w:bottom w:val="single" w:sz="4" w:space="0" w:color="000000"/>
              <w:end w:val="single" w:sz="4" w:space="0" w:color="000000"/>
            </w:tcBorders>
          </w:tcPr>
          <w:p>
            <w:pPr>
              <w:pStyle w:val="Normal"/>
              <w:snapToGrid w:val="false"/>
              <w:rPr>
                <w:color w:val="333333"/>
              </w:rPr>
            </w:pPr>
            <w:r>
              <w:rPr>
                <w:color w:val="333333"/>
              </w:rPr>
            </w:r>
          </w:p>
        </w:tc>
        <w:tc>
          <w:tcPr>
            <w:tcW w:w="1977" w:type="dxa"/>
            <w:tcBorders>
              <w:top w:val="single" w:sz="4" w:space="0" w:color="000000"/>
              <w:start w:val="single" w:sz="4" w:space="0" w:color="000000"/>
              <w:bottom w:val="single" w:sz="4" w:space="0" w:color="000000"/>
              <w:end w:val="single" w:sz="4" w:space="0" w:color="000000"/>
            </w:tcBorders>
          </w:tcPr>
          <w:p>
            <w:pPr>
              <w:pStyle w:val="Normal"/>
              <w:jc w:val="center"/>
              <w:rPr>
                <w:i/>
                <w:i/>
                <w:iCs/>
                <w:u w:val="single"/>
              </w:rPr>
            </w:pPr>
            <w:r>
              <w:rPr>
                <w:i/>
                <w:iCs/>
                <w:u w:val="single"/>
              </w:rPr>
              <w:t>Termination of Posting Agreement by Enron pursuant to Section 11(a)(i) through (xi)</w:t>
            </w:r>
          </w:p>
          <w:p>
            <w:pPr>
              <w:pStyle w:val="Normal"/>
              <w:jc w:val="center"/>
              <w:rPr>
                <w:i/>
                <w:i/>
                <w:iCs/>
                <w:u w:val="single"/>
              </w:rPr>
            </w:pPr>
            <w:r>
              <w:rPr>
                <w:i/>
                <w:iCs/>
                <w:u w:val="single"/>
              </w:rPr>
              <w:t>(except (iii))</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i/>
                <w:i/>
                <w:iCs/>
                <w:u w:val="single"/>
              </w:rPr>
            </w:pPr>
            <w:r>
              <w:rPr>
                <w:i/>
                <w:iCs/>
                <w:u w:val="single"/>
              </w:rPr>
              <w:t>Termination of Posting Agreement by HoustonStreet pursuant to Section 11(b)</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i/>
                <w:i/>
                <w:iCs/>
                <w:u w:val="single"/>
              </w:rPr>
            </w:pPr>
            <w:r>
              <w:rPr>
                <w:i/>
                <w:iCs/>
                <w:u w:val="single"/>
              </w:rPr>
              <w:t>Failure to meet volume targets</w:t>
            </w:r>
          </w:p>
          <w:p>
            <w:pPr>
              <w:pStyle w:val="Normal"/>
              <w:jc w:val="center"/>
              <w:rPr>
                <w:i/>
                <w:i/>
                <w:iCs/>
                <w:u w:val="single"/>
              </w:rPr>
            </w:pPr>
            <w:r>
              <w:rPr>
                <w:i/>
                <w:iCs/>
                <w:u w:val="single"/>
              </w:rPr>
              <w:t xml:space="preserve"> </w:t>
            </w:r>
            <w:r>
              <w:rPr>
                <w:i/>
                <w:iCs/>
                <w:u w:val="single"/>
              </w:rPr>
              <w:t xml:space="preserve">pursuant to Section 11(a)(iii) </w:t>
            </w:r>
          </w:p>
        </w:tc>
      </w:tr>
    </w:tbl>
    <w:p>
      <w:pPr>
        <w:pStyle w:val="Normal"/>
        <w:rPr/>
      </w:pPr>
      <w:r>
        <w:rPr/>
      </w:r>
    </w:p>
    <w:p>
      <w:pPr>
        <w:pStyle w:val="Normal"/>
        <w:jc w:val="center"/>
        <w:rPr>
          <w:b/>
          <w:bCs/>
          <w:u w:val="single"/>
        </w:rPr>
      </w:pPr>
      <w:r>
        <w:rPr>
          <w:b/>
          <w:bCs/>
          <w:u w:val="single"/>
        </w:rPr>
        <w:t>Reason for Termination of Posting Agreement</w:t>
      </w:r>
    </w:p>
    <w:p>
      <w:pPr>
        <w:pStyle w:val="Normal"/>
        <w:rPr>
          <w:b/>
          <w:bCs/>
          <w:u w:val="single"/>
        </w:rPr>
      </w:pPr>
      <w:r>
        <w:rPr>
          <w:b/>
          <w:bCs/>
          <w:u w:val="single"/>
        </w:rPr>
      </w:r>
    </w:p>
    <w:p>
      <w:pPr>
        <w:pStyle w:val="Normal"/>
        <w:rPr/>
      </w:pPr>
      <w:r>
        <w:rPr/>
      </w:r>
    </w:p>
    <w:p>
      <w:pPr>
        <w:pStyle w:val="Normal"/>
        <w:rPr/>
      </w:pPr>
      <w:r>
        <w:rPr/>
      </w:r>
    </w:p>
    <w:tbl>
      <w:tblPr>
        <w:tblW w:w="4428" w:type="dxa"/>
        <w:jc w:val="start"/>
        <w:tblInd w:w="0" w:type="dxa"/>
        <w:tblLayout w:type="fixed"/>
        <w:tblCellMar>
          <w:top w:w="0" w:type="dxa"/>
          <w:start w:w="108" w:type="dxa"/>
          <w:bottom w:w="0" w:type="dxa"/>
          <w:end w:w="108" w:type="dxa"/>
        </w:tblCellMar>
      </w:tblPr>
      <w:tblGrid>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ListBullet"/>
              <w:numPr>
                <w:ilvl w:val="0"/>
                <w:numId w:val="0"/>
              </w:numPr>
              <w:ind w:hanging="0" w:start="0"/>
              <w:rPr/>
            </w:pPr>
            <w:r>
              <w:rPr/>
              <w:t>Note:  "full" and "limited" strategic investor rights are to be negotiated as part of the equity investment documents, defined, but full rights generally include the right to board representation, standard demand piggyback and registration rights, ROFRs, voting agreements, etc.; limited rights are essentially limited to some form of registration rights to give Enron liquidity in the stock</w:t>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o:legal/tmccull/misc/EOL-HSChart.doc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2000-07-25T21:53:00Z</dcterms:created>
  <dc:creator>Travis McCullough</dc:creator>
  <dc:description/>
  <dc:language>en-CA</dc:language>
  <cp:lastModifiedBy>Travis McCullough</cp:lastModifiedBy>
  <cp:lastPrinted>2000-07-21T15:47:00Z</cp:lastPrinted>
  <dcterms:modified xsi:type="dcterms:W3CDTF">2000-07-25T21:56:00Z</dcterms:modified>
  <cp:revision>3</cp:revision>
  <dc:subject/>
  <dc:title>Investment in True Quote LLC</dc:title>
</cp:coreProperties>
</file>