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center"/>
        <w:rPr/>
      </w:pPr>
      <w:r>
        <w:rPr/>
        <w:tab/>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821055" cy="8210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2105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rFonts w:eastAsia="Arial"/>
                <w:i/>
                <w:sz w:val="16"/>
              </w:rPr>
              <w:t xml:space="preserve">                                                                                          </w:t>
            </w:r>
            <w:r>
              <w:rPr>
                <w:b w:val="false"/>
                <w:i/>
                <w:sz w:val="16"/>
              </w:rPr>
              <w:t>Houston, Texas 77210-4428</w:t>
            </w:r>
          </w:p>
          <w:p>
            <w:pPr>
              <w:pStyle w:val="Heading"/>
              <w:tabs>
                <w:tab w:val="clear" w:pos="720"/>
                <w:tab w:val="left" w:pos="3222" w:leader="none"/>
              </w:tabs>
              <w:rPr/>
            </w:pPr>
            <w:r>
              <w:rPr>
                <w:rFonts w:eastAsia="Arial"/>
                <w:sz w:val="16"/>
              </w:rPr>
              <w:t xml:space="preserve">                                                                                          </w:t>
            </w:r>
            <w:r>
              <w:rPr>
                <w:b w:val="false"/>
                <w:sz w:val="16"/>
              </w:rPr>
              <w:t>(FAX) (713) 646-2491</w:t>
            </w:r>
          </w:p>
          <w:p>
            <w:pPr>
              <w:pStyle w:val="BodyTextIndent"/>
              <w:tabs>
                <w:tab w:val="left" w:pos="720" w:leader="none"/>
                <w:tab w:val="left" w:pos="1440" w:leader="none"/>
                <w:tab w:val="left" w:pos="2160" w:leader="none"/>
                <w:tab w:val="left" w:pos="3222"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t xml:space="preserve"> regarding the sale of firm Energy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BodyText"/>
              <w:spacing w:before="0" w:after="0"/>
              <w:rPr>
                <w:sz w:val="22"/>
              </w:rPr>
            </w:pPr>
            <w:r>
              <w:rPr>
                <w:b/>
                <w:smallCaps/>
                <w:sz w:val="22"/>
              </w:rPr>
              <w:t>General Terms of Transaction:</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Seller:</w:t>
            </w:r>
          </w:p>
        </w:tc>
        <w:tc>
          <w:tcPr>
            <w:tcW w:w="7080" w:type="dxa"/>
            <w:tcBorders/>
          </w:tcPr>
          <w:p>
            <w:pPr>
              <w:pStyle w:val="BodyText"/>
              <w:spacing w:before="0" w:after="0"/>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Buyer:</w:t>
            </w:r>
          </w:p>
        </w:tc>
        <w:tc>
          <w:tcPr>
            <w:tcW w:w="7080" w:type="dxa"/>
            <w:tcBorders/>
          </w:tcPr>
          <w:p>
            <w:pPr>
              <w:pStyle w:val="BodyText"/>
              <w:spacing w:before="0" w:after="0"/>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Commodity:</w:t>
            </w:r>
          </w:p>
        </w:tc>
        <w:tc>
          <w:tcPr>
            <w:tcW w:w="7080" w:type="dxa"/>
            <w:tcBorders/>
          </w:tcPr>
          <w:p>
            <w:pPr>
              <w:pStyle w:val="BodyText"/>
              <w:spacing w:before="0" w:after="0"/>
              <w:rPr>
                <w:sz w:val="22"/>
              </w:rPr>
            </w:pPr>
            <w:r>
              <w:rPr>
                <w:sz w:val="22"/>
              </w:rPr>
              <w:fldChar w:fldCharType="begin"/>
            </w:r>
            <w:r>
              <w:rPr>
                <w:sz w:val="22"/>
              </w:rPr>
              <w:instrText xml:space="preserve"> MERGEFIELD ProductDesc </w:instrText>
            </w:r>
            <w:r>
              <w:rPr>
                <w:sz w:val="22"/>
              </w:rPr>
              <w:fldChar w:fldCharType="separate"/>
            </w:r>
            <w:r>
              <w:rPr>
                <w:sz w:val="22"/>
              </w:rPr>
              <w:t>«ProductDesc»</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Term:</w:t>
            </w:r>
          </w:p>
        </w:tc>
        <w:tc>
          <w:tcPr>
            <w:tcW w:w="7080" w:type="dxa"/>
            <w:tcBorders/>
          </w:tcPr>
          <w:p>
            <w:pPr>
              <w:pStyle w:val="BodyText"/>
              <w:spacing w:before="0" w:after="0"/>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Price:</w:t>
            </w:r>
          </w:p>
        </w:tc>
        <w:tc>
          <w:tcPr>
            <w:tcW w:w="7080" w:type="dxa"/>
            <w:tcBorders/>
          </w:tcPr>
          <w:p>
            <w:pPr>
              <w:pStyle w:val="BodyText"/>
              <w:spacing w:before="0" w:after="0"/>
              <w:rPr>
                <w:sz w:val="22"/>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Quantity:</w:t>
            </w:r>
          </w:p>
        </w:tc>
        <w:tc>
          <w:tcPr>
            <w:tcW w:w="7080" w:type="dxa"/>
            <w:tcBorders/>
          </w:tcPr>
          <w:p>
            <w:pPr>
              <w:pStyle w:val="BodyText"/>
              <w:spacing w:before="0" w:after="0"/>
              <w:rPr/>
            </w:pPr>
            <w:r>
              <w:rPr>
                <w:sz w:val="22"/>
              </w:rPr>
              <w:fldChar w:fldCharType="begin"/>
            </w:r>
            <w:r>
              <w:rPr>
                <w:sz w:val="22"/>
              </w:rPr>
              <w:instrText xml:space="preserve"> MERGEFIELD SO2Quantity </w:instrText>
            </w:r>
            <w:r>
              <w:rPr>
                <w:sz w:val="22"/>
              </w:rPr>
              <w:fldChar w:fldCharType="separate"/>
            </w:r>
            <w:r>
              <w:rPr>
                <w:sz w:val="22"/>
              </w:rPr>
              <w:t>«SO2Quantity»</w:t>
            </w:r>
            <w:r>
              <w:rPr>
                <w:sz w:val="22"/>
              </w:rPr>
              <w:fldChar w:fldCharType="end"/>
            </w:r>
            <w:r>
              <w:rPr>
                <w:sz w:val="22"/>
              </w:rPr>
              <w:t xml:space="preserve"> </w:t>
            </w:r>
            <w:r>
              <w:rPr>
                <w:sz w:val="22"/>
              </w:rPr>
              <w:t xml:space="preserve">Mws of firm Energy per hour, </w:t>
            </w:r>
            <w:r>
              <w:rPr>
                <w:sz w:val="22"/>
              </w:rPr>
              <w:fldChar w:fldCharType="begin"/>
            </w:r>
            <w:r>
              <w:rPr>
                <w:sz w:val="22"/>
              </w:rPr>
              <w:instrText xml:space="preserve"> MERGEFIELD TotalQuantity </w:instrText>
            </w:r>
            <w:r>
              <w:rPr>
                <w:sz w:val="22"/>
              </w:rPr>
              <w:fldChar w:fldCharType="separate"/>
            </w:r>
            <w:r>
              <w:rPr>
                <w:sz w:val="22"/>
              </w:rPr>
              <w:t>«TotalQuantity»</w:t>
            </w:r>
            <w:r>
              <w:rPr>
                <w:sz w:val="22"/>
              </w:rPr>
              <w:fldChar w:fldCharType="end"/>
            </w:r>
            <w:r>
              <w:rPr>
                <w:sz w:val="22"/>
              </w:rPr>
              <w:t xml:space="preserve"> Total</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Point(s):</w:t>
            </w:r>
          </w:p>
        </w:tc>
        <w:tc>
          <w:tcPr>
            <w:tcW w:w="7080" w:type="dxa"/>
            <w:tcBorders/>
          </w:tcPr>
          <w:p>
            <w:pPr>
              <w:pStyle w:val="BodyText"/>
              <w:spacing w:before="0" w:after="0"/>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BodyText"/>
              <w:spacing w:before="0" w:after="0"/>
              <w:rPr>
                <w:sz w:val="22"/>
              </w:rPr>
            </w:pPr>
            <w:r>
              <w:rPr>
                <w:b/>
                <w:sz w:val="22"/>
              </w:rPr>
              <w:t>Scheduling:</w:t>
            </w:r>
          </w:p>
        </w:tc>
        <w:tc>
          <w:tcPr>
            <w:tcW w:w="7080" w:type="dxa"/>
            <w:tcBorders/>
          </w:tcPr>
          <w:p>
            <w:pPr>
              <w:pStyle w:val="Normal"/>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p>
            <w:pPr>
              <w:pStyle w:val="Normal"/>
              <w:jc w:val="both"/>
              <w:rPr>
                <w:sz w:val="22"/>
              </w:rPr>
            </w:pPr>
            <w:r>
              <w:rPr>
                <w:sz w:val="22"/>
              </w:rPr>
            </w:r>
          </w:p>
          <w:p>
            <w:pPr>
              <w:pStyle w:val="Justified"/>
              <w:spacing w:before="0" w:after="120"/>
              <w:jc w:val="both"/>
              <w:rPr/>
            </w:pPr>
            <w:r>
              <w:rPr/>
              <w:fldChar w:fldCharType="begin"/>
            </w:r>
            <w:r>
              <w:rPr/>
              <w:instrText xml:space="preserve"> MERGEFIELD ScheduleLanguage </w:instrText>
            </w:r>
            <w:r>
              <w:rPr/>
              <w:fldChar w:fldCharType="separate"/>
            </w:r>
            <w:r>
              <w:rPr/>
              <w:t>«ScheduleLanguage»</w:t>
            </w:r>
            <w:r>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keepNext w:val="true"/>
              <w:keepLines/>
              <w:jc w:val="both"/>
              <w:rPr>
                <w:b/>
                <w:smallCaps/>
                <w:sz w:val="22"/>
              </w:rPr>
            </w:pPr>
            <w:r>
              <w:rPr>
                <w:b/>
                <w:smallCaps/>
                <w:sz w:val="22"/>
              </w:rPr>
              <w:t>General Terms and</w:t>
            </w:r>
          </w:p>
          <w:p>
            <w:pPr>
              <w:pStyle w:val="Normal"/>
              <w:keepNext w:val="true"/>
              <w:keepLines/>
              <w:jc w:val="both"/>
              <w:rPr>
                <w:b/>
                <w:smallCaps/>
                <w:sz w:val="22"/>
              </w:rPr>
            </w:pPr>
            <w:r>
              <w:rPr>
                <w:b/>
                <w:smallCaps/>
                <w:sz w:val="22"/>
              </w:rPr>
              <w:t>Conditions of</w:t>
            </w:r>
          </w:p>
          <w:p>
            <w:pPr>
              <w:pStyle w:val="BodyText"/>
              <w:spacing w:before="0" w:after="0"/>
              <w:rPr>
                <w:sz w:val="22"/>
              </w:rPr>
            </w:pPr>
            <w:r>
              <w:rPr>
                <w:b/>
                <w:smallCaps/>
                <w:sz w:val="22"/>
              </w:rPr>
              <w:t>Transaction:</w:t>
            </w:r>
          </w:p>
        </w:tc>
        <w:tc>
          <w:tcPr>
            <w:tcW w:w="7080" w:type="dxa"/>
            <w:tcBorders/>
          </w:tcPr>
          <w:p>
            <w:pPr>
              <w:pStyle w:val="BodyText"/>
              <w:spacing w:before="0" w:after="0"/>
              <w:rPr>
                <w:sz w:val="22"/>
              </w:rPr>
            </w:pPr>
            <w:r>
              <w:rPr>
                <w:sz w:val="22"/>
              </w:rPr>
              <w:t>The general terms and conditions contained in Annex A attached to this Confirmation were accepted by you when you entered into the Transaction and are a part hereof and are incorporated herein by reference.</w:t>
            </w:r>
          </w:p>
        </w:tc>
      </w:tr>
    </w:tbl>
    <w:p>
      <w:pPr>
        <w:pStyle w:val="BodyTextIndent"/>
        <w:keepNext w:val="true"/>
        <w:tabs>
          <w:tab w:val="clear" w:pos="720"/>
          <w:tab w:val="clear" w:pos="1440"/>
          <w:tab w:val="clear" w:pos="216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hanging="0" w:end="0"/>
        <w:rPr/>
      </w:pPr>
      <w:r>
        <w:rPr>
          <w:sz w:val="22"/>
        </w:rPr>
        <w:t xml:space="preserve">Please confirm that the Confirmation Letter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execute this Confirmation Letter.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By:  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Name:  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w:t>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b/>
                <w:smallCaps/>
                <w:sz w:val="20"/>
              </w:rPr>
              <w:t xml:space="preserve">Counterparty:  After you have confirmed Transaction, please return to </w:t>
            </w:r>
            <w:r>
              <w:rPr>
                <w:b/>
                <w:smallCaps/>
                <w:sz w:val="20"/>
              </w:rPr>
              <w:fldChar w:fldCharType="begin"/>
            </w:r>
            <w:r>
              <w:rPr>
                <w:smallCaps/>
                <w:sz w:val="20"/>
                <w:b/>
              </w:rPr>
              <w:instrText xml:space="preserve"> MERGEFIELD EnronEntityCode </w:instrText>
            </w:r>
            <w:r>
              <w:rPr>
                <w:smallCaps/>
                <w:sz w:val="20"/>
                <w:b/>
              </w:rPr>
              <w:fldChar w:fldCharType="separate"/>
            </w:r>
            <w:r>
              <w:rPr>
                <w:smallCaps/>
                <w:sz w:val="20"/>
                <w:b/>
              </w:rPr>
              <w:t>«EnronEntityCode»</w:t>
            </w:r>
            <w:r>
              <w:rPr>
                <w:smallCaps/>
                <w:sz w:val="20"/>
                <w:b/>
              </w:rPr>
              <w:fldChar w:fldCharType="end"/>
            </w:r>
            <w:r>
              <w:rPr>
                <w:b/>
                <w:smallCaps/>
                <w:sz w:val="20"/>
              </w:rPr>
              <w:t xml:space="preserve"> at </w:t>
            </w:r>
            <w:r>
              <w:rPr>
                <w:b/>
                <w:smallCaps/>
                <w:sz w:val="20"/>
              </w:rPr>
              <w:fldChar w:fldCharType="begin"/>
            </w:r>
            <w:r>
              <w:rPr>
                <w:smallCaps/>
                <w:sz w:val="20"/>
                <w:b/>
              </w:rPr>
              <w:instrText xml:space="preserve"> MERGEFIELD EnronFax </w:instrText>
            </w:r>
            <w:r>
              <w:rPr>
                <w:smallCaps/>
                <w:sz w:val="20"/>
                <w:b/>
              </w:rPr>
              <w:fldChar w:fldCharType="separate"/>
            </w:r>
            <w:r>
              <w:rPr>
                <w:smallCaps/>
                <w:sz w:val="20"/>
                <w:b/>
              </w:rPr>
              <w:t>«EnronFax»</w:t>
            </w:r>
            <w:r>
              <w:rPr>
                <w:smallCaps/>
                <w:sz w:val="20"/>
                <w:b/>
              </w:rPr>
              <w:fldChar w:fldCharType="end"/>
            </w:r>
            <w:r>
              <w:rPr>
                <w:b/>
                <w:smallCaps/>
                <w:sz w:val="20"/>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p>
      <w:pPr>
        <w:pStyle w:val="Heading2"/>
        <w:spacing w:before="0" w:after="0"/>
        <w:ind w:hanging="0" w:start="0"/>
        <w:rPr/>
      </w:pPr>
      <w:r>
        <w:rPr/>
        <w:t>Attachment:</w:t>
        <w:tab/>
      </w:r>
    </w:p>
    <w:p>
      <w:pPr>
        <w:pStyle w:val="Heading2"/>
        <w:spacing w:before="0" w:after="0"/>
        <w:ind w:hanging="0" w:start="0"/>
        <w:rPr/>
      </w:pPr>
      <w:r>
        <w:rPr/>
        <w:tab/>
        <w:t>Annex A – General Terms and Conditions (“GTC”)</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Normal"/>
        <w:jc w:val="end"/>
        <w:rPr>
          <w:sz w:val="20"/>
        </w:rPr>
      </w:pPr>
      <w:r>
        <w:rPr>
          <w:sz w:val="20"/>
        </w:rPr>
        <w:t>Version 1 - August 10, 1999</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Normal"/>
        <w:jc w:val="center"/>
        <w:rPr>
          <w:rFonts w:ascii="Arial" w:hAnsi="Arial" w:cs="Arial"/>
          <w:b/>
          <w:sz w:val="20"/>
        </w:rPr>
      </w:pPr>
      <w:r>
        <w:rPr>
          <w:rFonts w:cs="Arial" w:ascii="Arial" w:hAnsi="Arial"/>
          <w:b/>
          <w:sz w:val="20"/>
        </w:rPr>
        <w:t>Enron Power Marketing Inc. ("Enron")</w:t>
      </w:r>
    </w:p>
    <w:p>
      <w:pPr>
        <w:pStyle w:val="Heading2"/>
        <w:spacing w:before="0" w:after="240"/>
        <w:ind w:hanging="0" w:start="0"/>
        <w:jc w:val="center"/>
        <w:rPr>
          <w:rFonts w:ascii="Arial" w:hAnsi="Arial" w:cs="Arial"/>
          <w:b/>
          <w:smallCaps/>
          <w:sz w:val="20"/>
        </w:rPr>
      </w:pPr>
      <w:r>
        <w:rPr>
          <w:rFonts w:cs="Arial" w:ascii="Arial" w:hAnsi="Arial"/>
          <w:b/>
          <w:smallCaps/>
          <w:sz w:val="20"/>
        </w:rPr>
        <w:t xml:space="preserve">General Terms and Conditions </w:t>
      </w:r>
      <w:r>
        <w:rPr>
          <w:rFonts w:cs="Arial" w:ascii="Arial" w:hAnsi="Arial"/>
          <w:b/>
          <w:sz w:val="20"/>
        </w:rPr>
        <w:t>("GTC")</w:t>
      </w:r>
    </w:p>
    <w:p>
      <w:pPr>
        <w:sectPr>
          <w:type w:val="continuous"/>
          <w:pgSz w:w="12200" w:h="15840"/>
          <w:pgMar w:left="1152" w:right="1095" w:gutter="0" w:header="720" w:top="864" w:footer="720" w:bottom="864"/>
          <w:formProt w:val="fals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Until a Master Agreement is executed by the Parties, this GTC will govern all Physically Settled Power Transactions except as otherwise expressly agreed to by the Parties.</w:t>
      </w:r>
    </w:p>
    <w:p>
      <w:pPr>
        <w:pStyle w:val="Heading2"/>
        <w:tabs>
          <w:tab w:val="clear" w:pos="720"/>
          <w:tab w:val="left" w:pos="270" w:leader="none"/>
        </w:tabs>
        <w:spacing w:before="120" w:after="0"/>
        <w:ind w:hanging="0" w:start="0"/>
        <w:rPr/>
      </w:pPr>
      <w:r>
        <w:rPr>
          <w:rFonts w:cs="Arial Narrow" w:ascii="Arial Narrow" w:hAnsi="Arial Narrow"/>
          <w:sz w:val="20"/>
        </w:rPr>
        <w:t xml:space="preserve">1.  </w:t>
      </w:r>
      <w:r>
        <w:rPr>
          <w:rFonts w:cs="Arial Narrow" w:ascii="Arial Narrow" w:hAnsi="Arial Narrow"/>
          <w:b/>
          <w:sz w:val="20"/>
          <w:u w:val="single"/>
        </w:rPr>
        <w:t>Transactions.</w:t>
      </w:r>
      <w:r>
        <w:rPr>
          <w:rFonts w:cs="Arial Narrow" w:ascii="Arial Narrow" w:hAnsi="Arial Narrow"/>
          <w:b/>
          <w:sz w:val="20"/>
        </w:rPr>
        <w:t xml:space="preserve">  </w:t>
      </w:r>
      <w:r>
        <w:rPr>
          <w:rFonts w:cs="Arial Narrow" w:ascii="Arial Narrow" w:hAnsi="Arial Narrow"/>
          <w:sz w:val="20"/>
        </w:rPr>
        <w:t xml:space="preserve">From time to time, the Parties may engage in Transactions relating to the purchase and sale of Energy.  Such Transactions shall be formed on the Website in an electronic transaction whereby an offer and acceptance shall constitute the agreement of the Parties, subject to this GTC.  All such Transactions shall be considered a single integrated agreement governed by this GTC. </w:t>
      </w:r>
    </w:p>
    <w:p>
      <w:pPr>
        <w:pStyle w:val="Heading2"/>
        <w:tabs>
          <w:tab w:val="clear" w:pos="720"/>
          <w:tab w:val="left" w:pos="270" w:leader="none"/>
        </w:tabs>
        <w:spacing w:before="120" w:after="0"/>
        <w:ind w:hanging="0" w:start="0"/>
        <w:rPr/>
      </w:pPr>
      <w:r>
        <w:rPr>
          <w:rFonts w:cs="Arial Narrow" w:ascii="Arial Narrow" w:hAnsi="Arial Narrow"/>
          <w:sz w:val="20"/>
        </w:rPr>
        <w:t xml:space="preserve">2.  </w:t>
      </w: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tabs>
          <w:tab w:val="clear" w:pos="720"/>
          <w:tab w:val="left" w:pos="270" w:leader="none"/>
        </w:tabs>
        <w:spacing w:before="120" w:after="0"/>
        <w:ind w:start="0" w:end="0"/>
        <w:rPr/>
      </w:pPr>
      <w:r>
        <w:rPr>
          <w:rFonts w:cs="Arial Narrow" w:ascii="Arial Narrow" w:hAnsi="Arial Narrow"/>
          <w:sz w:val="20"/>
        </w:rPr>
        <w:t xml:space="preserve">3.  </w:t>
      </w:r>
      <w:r>
        <w:rPr>
          <w:rFonts w:cs="Arial Narrow" w:ascii="Arial Narrow" w:hAnsi="Arial Narrow"/>
          <w:b/>
          <w:sz w:val="20"/>
          <w:u w:val="single"/>
        </w:rPr>
        <w:t>Liquidated Damages.</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Letter (if any),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pPr>
      <w:r>
        <w:rPr>
          <w:rFonts w:cs="Arial Narrow" w:ascii="Arial Narrow" w:hAnsi="Arial Narrow"/>
          <w:sz w:val="20"/>
        </w:rPr>
        <w:t xml:space="preserve">4.  </w:t>
      </w:r>
      <w:r>
        <w:rPr>
          <w:rFonts w:cs="Arial Narrow" w:ascii="Arial Narrow" w:hAnsi="Arial Narrow"/>
          <w:b/>
          <w:sz w:val="20"/>
          <w:u w:val="single"/>
        </w:rPr>
        <w:t>Force Majeure.</w:t>
      </w:r>
      <w:r>
        <w:rPr>
          <w:rFonts w:cs="Arial Narrow" w:ascii="Arial Narrow" w:hAnsi="Arial Narrow"/>
          <w:sz w:val="20"/>
        </w:rPr>
        <w:t xml:space="preserve">  If either Party is rendered unable by a Force Majeure to carry out, in whole or part, its obligations under a Transaction, including this GTC,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such Transaction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5.  </w:t>
      </w:r>
      <w:r>
        <w:rPr>
          <w:rFonts w:cs="Arial Narrow" w:ascii="Arial Narrow" w:hAnsi="Arial Narrow"/>
          <w:b/>
          <w:sz w:val="20"/>
          <w:u w:val="single"/>
        </w:rPr>
        <w:t>Events of Default and Remedies.</w:t>
      </w:r>
      <w:r>
        <w:rPr>
          <w:rFonts w:cs="Arial Narrow" w:ascii="Arial Narrow" w:hAnsi="Arial Narrow"/>
          <w:sz w:val="20"/>
        </w:rPr>
        <w:t xml:space="preserve"> </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sz w:val="20"/>
        </w:rPr>
      </w:pPr>
      <w:r>
        <w:rPr>
          <w:rFonts w:cs="Arial Narrow" w:ascii="Arial Narrow" w:hAnsi="Arial Narrow"/>
          <w:sz w:val="20"/>
        </w:rPr>
        <w:t xml:space="preserve">(a)  An event of default ("Event of Default") shall mean with respect to a Party ("Defaulting Party") any of the following:  (i) the failure by the Defaulting Party to make, when due, any payment required under any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tabs>
          <w:tab w:val="clear" w:pos="720"/>
          <w:tab w:val="left" w:pos="270" w:leader="none"/>
          <w:tab w:val="left" w:pos="630" w:leader="none"/>
        </w:tabs>
        <w:spacing w:before="120" w:after="0"/>
        <w:jc w:val="both"/>
        <w:rPr/>
      </w:pPr>
      <w:r>
        <w:rPr>
          <w:rFonts w:cs="Arial Narrow" w:ascii="Arial Narrow" w:hAnsi="Arial Narrow"/>
          <w:sz w:val="20"/>
        </w:rPr>
        <w:t>(b)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all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all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tabs>
          <w:tab w:val="clear" w:pos="720"/>
          <w:tab w:val="left" w:pos="270" w:leader="none"/>
          <w:tab w:val="left" w:pos="540" w:leader="none"/>
          <w:tab w:val="left" w:pos="1080" w:leader="none"/>
        </w:tabs>
        <w:ind w:hanging="0" w:end="0"/>
        <w:rPr>
          <w:rFonts w:ascii="Arial Narrow" w:hAnsi="Arial Narrow" w:cs="Arial Narrow"/>
        </w:rPr>
      </w:pPr>
      <w:r>
        <w:rPr>
          <w:rFonts w:cs="Arial Narrow" w:ascii="Arial Narrow" w:hAnsi="Arial Narrow"/>
        </w:rPr>
        <w:t xml:space="preserve">(c)  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pPr>
      <w:r>
        <w:rPr>
          <w:rFonts w:cs="Arial Narrow" w:ascii="Arial Narrow" w:hAnsi="Arial Narrow"/>
          <w:sz w:val="20"/>
        </w:rPr>
        <w:t xml:space="preserve">6.  </w:t>
      </w: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tabs>
          <w:tab w:val="clear" w:pos="720"/>
          <w:tab w:val="left" w:pos="270" w:leader="none"/>
          <w:tab w:val="left" w:pos="540" w:leader="none"/>
          <w:tab w:val="left" w:pos="1080" w:leader="none"/>
        </w:tabs>
        <w:spacing w:before="120" w:after="0"/>
        <w:ind w:hanging="0" w:start="0"/>
        <w:rPr>
          <w:rFonts w:ascii="Arial Narrow" w:hAnsi="Arial Narrow" w:cs="Arial Narrow"/>
          <w:sz w:val="20"/>
        </w:rPr>
      </w:pPr>
      <w:r>
        <w:rPr>
          <w:rFonts w:cs="Arial Narrow" w:ascii="Arial Narrow" w:hAnsi="Arial Narrow"/>
          <w:sz w:val="20"/>
        </w:rPr>
        <w:t>(b)  If Buyer and Seller are each required to pay an amount in the same month pursuant to a particular Transaction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any other agreement between the Parties may be offset against each other, set off or recouped therefrom.</w:t>
      </w:r>
    </w:p>
    <w:p>
      <w:pPr>
        <w:pStyle w:val="Heading2"/>
        <w:tabs>
          <w:tab w:val="clear" w:pos="720"/>
          <w:tab w:val="left" w:pos="270" w:leader="none"/>
          <w:tab w:val="left" w:pos="1080" w:leader="none"/>
        </w:tabs>
        <w:spacing w:before="240" w:after="0"/>
        <w:ind w:hanging="0" w:start="0"/>
        <w:rPr/>
      </w:pPr>
      <w:r>
        <w:rPr>
          <w:rFonts w:cs="Arial Narrow" w:ascii="Arial Narrow" w:hAnsi="Arial Narrow"/>
          <w:sz w:val="20"/>
        </w:rPr>
        <w:t xml:space="preserve">7.  </w:t>
      </w:r>
      <w:r>
        <w:rPr>
          <w:rFonts w:cs="Arial Narrow" w:ascii="Arial Narrow" w:hAnsi="Arial Narrow"/>
          <w:b/>
          <w:sz w:val="20"/>
          <w:u w:val="single"/>
        </w:rPr>
        <w:t>Limitation of Liability.</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pPr>
      <w:r>
        <w:rPr>
          <w:rFonts w:cs="Arial Narrow" w:ascii="Arial Narrow" w:hAnsi="Arial Narrow"/>
          <w:sz w:val="20"/>
        </w:rPr>
        <w:t xml:space="preserve">8.  </w:t>
      </w: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GTC or any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pPr>
      <w:r>
        <w:rPr>
          <w:rFonts w:cs="Arial Narrow" w:ascii="Arial Narrow" w:hAnsi="Arial Narrow"/>
          <w:sz w:val="20"/>
        </w:rPr>
        <w:t xml:space="preserve">9.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pPr>
      <w:r>
        <w:rPr>
          <w:rFonts w:cs="Arial Narrow" w:ascii="Arial Narrow" w:hAnsi="Arial Narrow"/>
          <w:sz w:val="20"/>
        </w:rPr>
        <w:t xml:space="preserve">10.  </w:t>
      </w:r>
      <w:r>
        <w:rPr>
          <w:rFonts w:cs="Arial Narrow" w:ascii="Arial Narrow" w:hAnsi="Arial Narrow"/>
          <w:b/>
          <w:sz w:val="20"/>
          <w:u w:val="single"/>
        </w:rPr>
        <w:t>Miscellaneous.</w:t>
      </w:r>
      <w:r>
        <w:rPr>
          <w:rFonts w:cs="Arial Narrow" w:ascii="Arial Narrow" w:hAnsi="Arial Narrow"/>
          <w:sz w:val="20"/>
        </w:rPr>
        <w:t xml:space="preserve">  (a) 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cs="Arial Narrow"/>
        </w:rPr>
      </w:pPr>
      <w:r>
        <w:rPr>
          <w:rFonts w:cs="Arial Narrow" w:ascii="Arial Narrow" w:hAnsi="Arial Narrow"/>
        </w:rPr>
        <w:t>(b) Each of the Parties acknowledges and agrees that it is entering into each Transaction in reliance upon the fact that all Physically Settled Power Transactions will form a single agreement and that the Parties have the rights and obligations set forth herein.  Upon execution by the Parties of a Master Agreement, insofar as such Master Agreement is applicable to each Transaction, and except as otherwise expressly agreed in wirting by the Parties, this GTC will supplement, form part of, and be subject to the Master Agreement.  In the event of any inconsistency between this GTC and the Master Agreement, the Master Agreement shall govern except as expressly set forth therein or except as otherwise expressly agreed in writing by the Parties.  In the event of any inconsistency between the Transaction and this GTC or the Master Agreement, the terms in the Transaction shall govern.</w:t>
      </w:r>
    </w:p>
    <w:p>
      <w:pPr>
        <w:pStyle w:val="BodyTextIndent2"/>
        <w:tabs>
          <w:tab w:val="clear" w:pos="720"/>
          <w:tab w:val="left" w:pos="270" w:leader="none"/>
          <w:tab w:val="left" w:pos="540" w:leader="none"/>
          <w:tab w:val="left" w:pos="1080" w:leader="none"/>
        </w:tabs>
        <w:ind w:hanging="0" w:end="0"/>
        <w:rPr>
          <w:rFonts w:ascii="Arial Narrow" w:hAnsi="Arial Narrow" w:cs="Arial Narrow"/>
        </w:rPr>
      </w:pPr>
      <w:r>
        <w:rPr>
          <w:rFonts w:cs="Arial Narrow" w:ascii="Arial Narrow" w:hAnsi="Arial Narrow"/>
        </w:rPr>
        <w:t>(c)  This GTC and each Transaction shall (i) be governed by, interpreted and construed in accordance with the laws of the State of New York (excluding conflict of laws principles); (ii) neither Party shall have the power to assign or otherwise transfer all or any of its rights or obligations under any Transaction or this GTC without the prior written consent of the other Party, which consent may be withheld in its sole discretion; provided, however, either Party may transfer or assign any Transaction or this GTC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a Transaction or this GTC; and provided, further, that if a Regulatory Event occurs, the Parties shall use their best efforts to reform such Transaction or this GTC in order to give effect to the original intention of such Parties.  All notices in connection with a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such Transaction or as may be subsequently designated by effective notice.  If either Party fails to pay any uncontested amounts when due, the aggrieved Party shall have the right to (i) suspend performance under the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the Transaction and any other Physically Settled Power Transaction) and/or (ii) exercise any remedy available at law, including under this GTC, or in equity to enforce payment of such amount plus interest at the Interest Rate.  Any Party in default under a Transaction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such Transaction.</w:t>
      </w:r>
    </w:p>
    <w:p>
      <w:pPr>
        <w:pStyle w:val="BodyTextIndent2"/>
        <w:tabs>
          <w:tab w:val="clear" w:pos="720"/>
          <w:tab w:val="left" w:pos="270" w:leader="none"/>
          <w:tab w:val="left" w:pos="540" w:leader="none"/>
          <w:tab w:val="left" w:pos="1080" w:leader="none"/>
        </w:tabs>
        <w:ind w:hanging="0" w:end="0"/>
        <w:rPr/>
      </w:pPr>
      <w:r>
        <w:rPr>
          <w:rFonts w:cs="Arial Narrow" w:ascii="Arial Narrow" w:hAnsi="Arial Narrow"/>
        </w:rPr>
        <w:t xml:space="preserve">(d)  </w:t>
      </w:r>
      <w:r>
        <w:rPr>
          <w:rFonts w:cs="Arial Narrow" w:ascii="Arial Narrow" w:hAnsi="Arial Narrow"/>
          <w:b/>
        </w:rPr>
        <w:t>Any dispute relating to a Transaction or this GTC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confidential.</w:t>
      </w:r>
    </w:p>
    <w:p>
      <w:pPr>
        <w:pStyle w:val="BodyTextIndent2"/>
        <w:tabs>
          <w:tab w:val="clear" w:pos="720"/>
          <w:tab w:val="left" w:pos="270" w:leader="none"/>
          <w:tab w:val="left" w:pos="540" w:leader="none"/>
          <w:tab w:val="left" w:pos="1080" w:leader="none"/>
        </w:tabs>
        <w:ind w:hanging="0" w:end="0"/>
        <w:rPr>
          <w:rFonts w:ascii="Arial Narrow" w:hAnsi="Arial Narrow" w:cs="Arial Narrow"/>
          <w:b/>
        </w:rPr>
      </w:pPr>
      <w:r>
        <w:rPr>
          <w:rFonts w:cs="Arial Narrow" w:ascii="Arial Narrow" w:hAnsi="Arial Narrow"/>
        </w:rPr>
        <w:t>(e)</w:t>
        <w:tab/>
        <w:t>The Website may contain certain terms and conditions, including, but not limited to long definitions of various products, available by "clicking" on a designated space.  Each Party agrees that it shall be bound by all of the terms and conditions of each Transaction as set forth on the Website, even if such Party does not actually view all of the information available on the Website.</w:t>
      </w:r>
    </w:p>
    <w:p>
      <w:pPr>
        <w:pStyle w:val="Normal"/>
        <w:tabs>
          <w:tab w:val="clear" w:pos="720"/>
          <w:tab w:val="left" w:pos="270" w:leader="none"/>
          <w:tab w:val="left" w:pos="810" w:leader="none"/>
          <w:tab w:val="left" w:pos="1080" w:leader="none"/>
          <w:tab w:val="left" w:pos="1170" w:leader="none"/>
        </w:tabs>
        <w:spacing w:before="120" w:after="0"/>
        <w:jc w:val="both"/>
        <w:rPr/>
      </w:pPr>
      <w:r>
        <w:rPr>
          <w:rFonts w:cs="Arial Narrow" w:ascii="Arial Narrow" w:hAnsi="Arial Narrow"/>
          <w:sz w:val="20"/>
        </w:rPr>
        <w:t xml:space="preserve">11.  </w:t>
      </w:r>
      <w:r>
        <w:rPr>
          <w:rFonts w:cs="Arial Narrow" w:ascii="Arial Narrow" w:hAnsi="Arial Narrow"/>
          <w:b/>
          <w:sz w:val="20"/>
          <w:u w:val="single"/>
        </w:rPr>
        <w:t>Definitions.</w:t>
      </w:r>
      <w:r>
        <w:rPr>
          <w:rFonts w:cs="Arial Narrow" w:ascii="Arial Narrow" w:hAnsi="Arial Narrow"/>
          <w:b/>
          <w:sz w:val="20"/>
        </w:rPr>
        <w:t xml:space="preserve">  </w:t>
      </w:r>
      <w:r>
        <w:rPr>
          <w:rFonts w:cs="Arial Narrow" w:ascii="Arial Narrow" w:hAnsi="Arial Narrow"/>
          <w:sz w:val="20"/>
        </w:rPr>
        <w:t xml:space="preserve">All capitalized terms used herein shall have the meanings ascribed to them on the Web Site or in the Confirmation Letter unless otherwise defined herein.  The following definitions and any terms defined internally in this GTC shall apply to this GTC and all notices and communications made pursuant to this GTC. </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120" w:after="0"/>
        <w:rPr>
          <w:rFonts w:ascii="Arial Narrow" w:hAnsi="Arial Narrow" w:cs="Arial Narrow"/>
          <w:b/>
          <w:i/>
          <w:i/>
          <w:sz w:val="2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rFonts w:cs="Arial Narrow" w:ascii="Arial Narrow" w:hAnsi="Arial Narrow"/>
          <w:i/>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Confirmation Letter</w:t>
      </w:r>
      <w:r>
        <w:rPr>
          <w:rFonts w:cs="Arial Narrow" w:ascii="Arial Narrow" w:hAnsi="Arial Narrow"/>
          <w:i/>
          <w:sz w:val="20"/>
        </w:rPr>
        <w:t xml:space="preserve">" </w:t>
      </w:r>
      <w:r>
        <w:rPr>
          <w:rFonts w:cs="Arial Narrow" w:ascii="Arial Narrow" w:hAnsi="Arial Narrow"/>
          <w:sz w:val="20"/>
        </w:rPr>
        <w:t>shall mean a written notice confirming the specific terms of a Transaction which shall be in the form attached hereto as Exhibit A provided by Enron to the other party hereto and which shall be executed by such other party (with any objections noted thereon) and returned to Enron within two (2) Business Days of such party's receipt of it or else be deemed correct as sent.</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in $U.S. (unless otherwise provided for) to be paid by Buyer to Seller for the purchase of Energy pursuant to the terms of a Transaction or in the case of Options, the Strike Price.</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 xml:space="preserve">" </w:t>
      </w:r>
      <w:r>
        <w:rPr>
          <w:rFonts w:cs="Arial Narrow" w:ascii="Arial Narrow" w:hAnsi="Arial Narrow"/>
          <w:sz w:val="20"/>
        </w:rPr>
        <w:t>means the quantity of Energy that Seller agrees to sell and deliver, or cause to be delivered, to Buyer and that Buyer agrees to purchase and receive, or cause to be received, from Seller, pursuant to the terms of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120" w:after="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spacing w:before="120" w:after="0"/>
        <w:ind w:hanging="0" w:start="0"/>
        <w:rPr/>
      </w:pPr>
      <w:r>
        <w:rPr>
          <w:rFonts w:cs="Arial Narrow" w:ascii="Arial Narrow" w:hAnsi="Arial Narrow"/>
          <w:sz w:val="20"/>
        </w:rPr>
        <w:t>"</w:t>
      </w:r>
      <w:r>
        <w:rPr>
          <w:rFonts w:cs="Arial Narrow" w:ascii="Arial Narrow" w:hAnsi="Arial Narrow"/>
          <w:i/>
          <w:sz w:val="20"/>
          <w:u w:val="single"/>
        </w:rPr>
        <w:t>Delivery Term</w:t>
      </w:r>
      <w:r>
        <w:rPr>
          <w:rFonts w:cs="Arial Narrow" w:ascii="Arial Narrow" w:hAnsi="Arial Narrow"/>
          <w:i/>
          <w:sz w:val="20"/>
        </w:rPr>
        <w:t xml:space="preserve">" </w:t>
      </w:r>
      <w:r>
        <w:rPr>
          <w:rFonts w:cs="Arial Narrow" w:ascii="Arial Narrow" w:hAnsi="Arial Narrow"/>
          <w:sz w:val="20"/>
        </w:rPr>
        <w:t>means the period of time from the date physical delivery of the Energy is to commence to the date physical deliver is to terminate under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Enron</w:t>
      </w:r>
      <w:r>
        <w:rPr>
          <w:rFonts w:cs="Arial Narrow" w:ascii="Arial Narrow" w:hAnsi="Arial Narrow"/>
          <w:i/>
          <w:sz w:val="20"/>
        </w:rPr>
        <w:t>"</w:t>
      </w:r>
      <w:r>
        <w:rPr>
          <w:rFonts w:cs="Arial Narrow" w:ascii="Arial Narrow" w:hAnsi="Arial Narrow"/>
          <w:sz w:val="20"/>
        </w:rPr>
        <w:t xml:space="preserve"> means Enron Power Marketing, Inc. and/or its affiliates (including, but not limited to, Enron Capital &amp; Trade Resources Corp. and Enron Corporation).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governing the purchase and/or sale of Energy.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w:t>
      </w:r>
      <w:r>
        <w:rPr>
          <w:rFonts w:cs="Arial Narrow" w:ascii="Arial Narrow" w:hAnsi="Arial Narrow"/>
          <w:sz w:val="20"/>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Trade Date</w:t>
      </w:r>
      <w:r>
        <w:rPr>
          <w:rFonts w:cs="Arial Narrow" w:ascii="Arial Narrow" w:hAnsi="Arial Narrow"/>
          <w:i/>
          <w:sz w:val="20"/>
        </w:rPr>
        <w:t xml:space="preserve">" </w:t>
      </w:r>
      <w:r>
        <w:rPr>
          <w:rFonts w:cs="Arial Narrow" w:ascii="Arial Narrow" w:hAnsi="Arial Narrow"/>
          <w:sz w:val="20"/>
        </w:rPr>
        <w:t>means the date of a Transaction.</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Transaction</w:t>
      </w:r>
      <w:r>
        <w:rPr>
          <w:rFonts w:cs="Arial Narrow" w:ascii="Arial Narrow" w:hAnsi="Arial Narrow"/>
          <w:i/>
          <w:sz w:val="20"/>
        </w:rPr>
        <w:t>"</w:t>
      </w:r>
      <w:r>
        <w:rPr>
          <w:rFonts w:cs="Arial Narrow" w:ascii="Arial Narrow" w:hAnsi="Arial Narrow"/>
          <w:sz w:val="20"/>
        </w:rPr>
        <w:t xml:space="preserve"> means a particular transaction conducted on the Website and agreed to by the Parties relating to the purchase and/or sale of Energy, which transaction shall specifically incorporate by this reference this GTC as well as the short descriptions and long definitions posted on the Website in respect of the products which are the subject matter of such transaction.  </w:t>
      </w:r>
    </w:p>
    <w:p>
      <w:pPr>
        <w:pStyle w:val="Normal"/>
        <w:spacing w:before="120" w:after="0"/>
        <w:jc w:val="both"/>
        <w:rPr>
          <w:rFonts w:ascii="Arial Narrow" w:hAnsi="Arial Narrow" w:cs="Arial Narrow"/>
          <w:sz w:val="20"/>
          <w:lang w:val="en-CA"/>
        </w:rPr>
      </w:pPr>
      <w:r>
        <w:rPr>
          <w:rFonts w:cs="Arial Narrow" w:ascii="Arial Narrow" w:hAnsi="Arial Narrow"/>
          <w:sz w:val="20"/>
        </w:rPr>
        <w:t>“</w:t>
      </w:r>
      <w:r>
        <w:rPr>
          <w:rFonts w:cs="Arial Narrow" w:ascii="Arial Narrow" w:hAnsi="Arial Narrow"/>
          <w:i/>
          <w:sz w:val="20"/>
          <w:u w:val="single"/>
        </w:rPr>
        <w:t>Website</w:t>
      </w:r>
      <w:r>
        <w:rPr>
          <w:rFonts w:cs="Arial Narrow" w:ascii="Arial Narrow" w:hAnsi="Arial Narrow"/>
          <w:sz w:val="20"/>
        </w:rPr>
        <w:t>” means the website or other internet-based electronic trading facility established by Enron that references this GTC.</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Narrow" w:hAnsi="Arial Narrow" w:cs="Arial Narrow"/>
          <w:sz w:val="20"/>
          <w:lang w:val="en-CA"/>
        </w:rPr>
      </w:pPr>
      <w:r>
        <w:rPr>
          <w:rFonts w:cs="Arial Narrow" w:ascii="Arial Narrow" w:hAnsi="Arial Narrow"/>
          <w:sz w:val="20"/>
          <w:lang w:val="en-CA"/>
        </w:rPr>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Heading2"/>
        <w:spacing w:before="0" w:after="240"/>
        <w:ind w:hanging="0" w:start="0"/>
        <w:jc w:val="center"/>
        <w:rPr/>
      </w:pPr>
      <w:r>
        <w:rPr/>
      </w:r>
    </w:p>
    <w:sectPr>
      <w:type w:val="continuous"/>
      <w:pgSz w:w="12200"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jc w:val="center"/>
      <w:rPr>
        <w:rStyle w:val="PageNumber"/>
        <w:sz w:val="18"/>
      </w:rPr>
    </w:pPr>
    <w:r>
      <w:rPr/>
    </w:r>
  </w:p>
  <w:p>
    <w:pPr>
      <w:pStyle w:val="Footer"/>
      <w:rPr/>
    </w:pPr>
    <w:r>
      <w:rPr>
        <w:rStyle w:val="PageNumber"/>
        <w:sz w:val="18"/>
      </w:rPr>
      <w:t>Form Date: 9/99</w:t>
    </w:r>
  </w:p>
  <w:p>
    <w:pPr>
      <w:pStyle w:val="Footer"/>
      <w:rPr>
        <w:rStyle w:val="PageNumber"/>
        <w:sz w:val="18"/>
      </w:rPr>
    </w:pPr>
    <w:r>
      <w:rPr/>
    </w:r>
  </w:p>
  <w:p>
    <w:pPr>
      <w:pStyle w:val="Footer"/>
      <w:rPr>
        <w:rStyle w:val="PageNumber"/>
        <w:sz w:val="18"/>
      </w:rPr>
    </w:pPr>
    <w:r>
      <w:rPr/>
    </w:r>
  </w:p>
  <w:p>
    <w:pPr>
      <w:pStyle w:val="Footer"/>
      <w:rPr>
        <w:rStyle w:val="PageNumber"/>
        <w:sz w:val="18"/>
      </w:rPr>
    </w:pPr>
    <w:r>
      <w:rPr/>
    </w:r>
  </w:p>
  <w:p>
    <w:pPr>
      <w:pStyle w:val="Normal"/>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45.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jc w:val="center"/>
      <w:rPr>
        <w:sz w:val="20"/>
      </w:rPr>
    </w:pPr>
    <w:r>
      <w:rPr>
        <w:sz w:val="20"/>
      </w:rPr>
    </w:r>
  </w:p>
  <w:p>
    <w:pPr>
      <w:pStyle w:val="Footer"/>
      <w:jc w:val="center"/>
      <w:rPr>
        <w:sz w:val="20"/>
      </w:rPr>
    </w:pPr>
    <w:r>
      <w:rPr>
        <w:sz w:val="20"/>
      </w:rPr>
    </w:r>
  </w:p>
  <w:p>
    <w:pPr>
      <w:pStyle w:val="Footer"/>
      <w:jc w:val="center"/>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Fonts w:ascii="Arial Narrow" w:hAnsi="Arial Narrow" w:cs="Arial Narrow"/>
        <w:smallCaps/>
        <w:sz w:val="18"/>
      </w:rPr>
    </w:pPr>
    <w:r>
      <w:rPr>
        <w:rFonts w:eastAsia="Arial Narrow" w:cs="Arial Narrow" w:ascii="Arial Narrow" w:hAnsi="Arial Narrow"/>
        <w:smallCaps/>
        <w:sz w:val="18"/>
      </w:rPr>
      <w:t xml:space="preserve"> </w:t>
    </w:r>
    <w:r>
      <w:rPr>
        <w:rFonts w:cs="Arial Narrow" w:ascii="Arial Narrow" w:hAnsi="Arial Narrow"/>
        <w:smallCaps/>
        <w:sz w:val="18"/>
      </w:rPr>
      <w:tab/>
      <w:tab/>
    </w:r>
  </w:p>
  <w:p>
    <w:pPr>
      <w:pStyle w:val="Header"/>
      <w:tabs>
        <w:tab w:val="center" w:pos="4320" w:leader="none"/>
        <w:tab w:val="left" w:pos="7380" w:leader="none"/>
        <w:tab w:val="right" w:pos="8640" w:leader="none"/>
      </w:tabs>
      <w:ind w:start="7380" w:end="0"/>
      <w:rPr>
        <w:smallCaps/>
        <w:sz w:val="22"/>
      </w:rPr>
    </w:pPr>
    <w:r>
      <w:rPr>
        <w:smallCaps/>
        <w:sz w:val="22"/>
      </w:rPr>
      <w:fldChar w:fldCharType="begin"/>
    </w:r>
    <w:r>
      <w:rPr>
        <w:smallCaps/>
        <w:sz w:val="22"/>
      </w:rPr>
      <w:instrText xml:space="preserve"> AUTHOR </w:instrText>
    </w:r>
    <w:r>
      <w:rPr>
        <w:smallCaps/>
        <w:sz w:val="22"/>
      </w:rPr>
      <w:fldChar w:fldCharType="separate"/>
    </w:r>
    <w:r>
      <w:rPr>
        <w:smallCaps/>
        <w:sz w:val="22"/>
      </w:rPr>
      <w:t>EOL#</w:t>
    </w:r>
    <w:r>
      <w:rPr>
        <w:smallCaps/>
        <w:sz w:val="22"/>
      </w:rPr>
      <w:fldChar w:fldCharType="end"/>
    </w:r>
  </w:p>
  <w:p>
    <w:pPr>
      <w:pStyle w:val="Header"/>
      <w:tabs>
        <w:tab w:val="center" w:pos="4320" w:leader="none"/>
        <w:tab w:val="left" w:pos="7380" w:leader="none"/>
        <w:tab w:val="right" w:pos="8640" w:leader="none"/>
      </w:tabs>
      <w:ind w:start="7380" w:end="0"/>
      <w:rPr>
        <w:rStyle w:val="PageNumber"/>
        <w:sz w:val="22"/>
      </w:rPr>
    </w:pP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smallCaps/>
        <w:sz w:val="22"/>
      </w:rPr>
    </w:pPr>
    <w:r>
      <w:rPr>
        <w:smallCaps/>
        <w:sz w:val="22"/>
      </w:rPr>
      <w:t xml:space="preserve">                                                                                                                                                             </w:t>
    </w:r>
    <w:r>
      <w:rPr>
        <w:smallCaps/>
        <w:sz w:val="22"/>
      </w:rPr>
      <w:tab/>
    </w:r>
  </w:p>
  <w:p>
    <w:pPr>
      <w:pStyle w:val="Header"/>
      <w:tabs>
        <w:tab w:val="center" w:pos="4320" w:leader="none"/>
        <w:tab w:val="left" w:pos="7380" w:leader="none"/>
        <w:tab w:val="right" w:pos="8640" w:leader="none"/>
      </w:tabs>
      <w:ind w:start="7380" w:end="0"/>
      <w:rPr>
        <w:sz w:val="22"/>
      </w:rPr>
    </w:pPr>
    <w:r>
      <w:rPr>
        <w:sz w:val="22"/>
      </w:rPr>
      <w:fldChar w:fldCharType="begin"/>
    </w:r>
    <w:r>
      <w:rPr>
        <w:sz w:val="22"/>
      </w:rPr>
      <w:instrText xml:space="preserve"> AUTHOR </w:instrText>
    </w:r>
    <w:r>
      <w:rPr>
        <w:sz w:val="22"/>
      </w:rPr>
      <w:fldChar w:fldCharType="separate"/>
    </w:r>
    <w:r>
      <w:rPr>
        <w:sz w:val="22"/>
      </w:rPr>
      <w:t>EOL#</w:t>
    </w:r>
    <w:r>
      <w:rPr>
        <w:sz w:val="22"/>
      </w:rPr>
      <w:fldChar w:fldCharType="end"/>
    </w:r>
  </w:p>
  <w:p>
    <w:pPr>
      <w:pStyle w:val="Header"/>
      <w:tabs>
        <w:tab w:val="center" w:pos="4320" w:leader="none"/>
        <w:tab w:val="left" w:pos="7380" w:leader="none"/>
        <w:tab w:val="right" w:pos="8640" w:leader="none"/>
      </w:tabs>
      <w:ind w:start="7380" w:end="0"/>
      <w:rPr/>
    </w:pP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r>
      <w:rPr>
        <w:rFonts w:cs="Arial Narrow" w:ascii="Arial Narrow" w:hAnsi="Arial Narrow"/>
        <w:b/>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r>
      <w:rPr>
        <w:rFonts w:cs="Courier New" w:ascii="Courier New" w:hAnsi="Courier New"/>
        <w:b/>
        <w:sz w:val="20"/>
      </w:rPr>
      <w:t xml:space="preserve">                     </w:t>
    </w:r>
  </w:p>
  <w:p>
    <w:pPr>
      <w:pStyle w:val="Header"/>
      <w:tabs>
        <w:tab w:val="center" w:pos="4320" w:leader="none"/>
        <w:tab w:val="left" w:pos="7380" w:leader="none"/>
        <w:tab w:val="right" w:pos="8640" w:leader="none"/>
      </w:tabs>
      <w:ind w:start="7380" w:end="0"/>
      <w:rPr>
        <w:sz w:val="22"/>
      </w:rPr>
    </w:pPr>
    <w:r>
      <w:rPr>
        <w:sz w:val="22"/>
      </w:rPr>
      <w:fldChar w:fldCharType="begin"/>
    </w:r>
    <w:r>
      <w:rPr>
        <w:sz w:val="22"/>
      </w:rPr>
      <w:instrText xml:space="preserve"> AUTHOR </w:instrText>
    </w:r>
    <w:r>
      <w:rPr>
        <w:sz w:val="22"/>
      </w:rPr>
      <w:fldChar w:fldCharType="separate"/>
    </w:r>
    <w:r>
      <w:rPr>
        <w:sz w:val="22"/>
      </w:rPr>
      <w:t>EOL#</w:t>
    </w:r>
    <w:r>
      <w:rPr>
        <w:sz w:val="22"/>
      </w:rPr>
      <w:fldChar w:fldCharType="end"/>
    </w:r>
  </w:p>
  <w:p>
    <w:pPr>
      <w:pStyle w:val="Header"/>
      <w:tabs>
        <w:tab w:val="center" w:pos="4320" w:leader="none"/>
        <w:tab w:val="left" w:pos="7380" w:leader="none"/>
        <w:tab w:val="right" w:pos="8640" w:leader="none"/>
      </w:tabs>
      <w:ind w:start="7380" w:end="0"/>
      <w:rPr>
        <w:rStyle w:val="PageNumber"/>
        <w:sz w:val="22"/>
      </w:rPr>
    </w:pP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8640"/>
        <w:tab w:val="center" w:pos="4320" w:leader="none"/>
        <w:tab w:val="right" w:pos="7200" w:leader="none"/>
        <w:tab w:val="left" w:pos="7470" w:leader="none"/>
      </w:tabs>
      <w:rPr>
        <w:rStyle w:val="PageNumber"/>
        <w:rFonts w:ascii="Courier New" w:hAnsi="Courier New" w:cs="Courier New"/>
        <w:b/>
        <w:sz w:val="20"/>
      </w:rPr>
    </w:pPr>
    <w:r>
      <w:rPr/>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eastAsia="Courier New" w:cs="Courier New" w:ascii="Courier New" w:hAnsi="Courier New"/>
        <w:b/>
        <w:sz w:val="20"/>
      </w:rPr>
      <w:t xml:space="preserve">  </w:t>
    </w:r>
    <w:r>
      <w:rPr>
        <w:rFonts w:cs="Courier New" w:ascii="Courier New" w:hAnsi="Courier New"/>
        <w:b/>
        <w:sz w:val="20"/>
      </w:rPr>
      <w:tab/>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2001-04-30T18:12:00Z</dcterms:created>
  <dc:creator>EOL#</dc:creator>
  <dc:description/>
  <dc:language>en-CA</dc:language>
  <cp:lastModifiedBy>mmurphy</cp:lastModifiedBy>
  <dcterms:modified xsi:type="dcterms:W3CDTF">2001-04-30T18:12:00Z</dcterms:modified>
  <cp:revision>2</cp:revision>
  <dc:subject/>
  <dc:title>	 </dc:title>
</cp:coreProperties>
</file>