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8640" w:leader="none"/>
        </w:tabs>
        <w:suppressAutoHyphens w:val="true"/>
        <w:jc w:val="both"/>
        <w:rPr>
          <w:color w:val="000000"/>
          <w:sz w:val="22"/>
          <w:szCs w:val="22"/>
        </w:rPr>
      </w:pPr>
      <w:r>
        <w:rPr>
          <w:color w:val="000000"/>
          <w:sz w:val="22"/>
          <w:szCs w:val="22"/>
        </w:rPr>
      </w:r>
    </w:p>
    <w:p>
      <w:pPr>
        <w:pStyle w:val="Normal"/>
        <w:tabs>
          <w:tab w:val="left" w:pos="0" w:leader="none"/>
          <w:tab w:val="left" w:pos="720" w:leader="none"/>
          <w:tab w:val="left" w:pos="8640" w:leader="none"/>
        </w:tabs>
        <w:suppressAutoHyphens w:val="true"/>
        <w:jc w:val="both"/>
        <w:rPr>
          <w:color w:val="000000"/>
          <w:sz w:val="22"/>
          <w:szCs w:val="22"/>
        </w:rPr>
      </w:pPr>
      <w:r>
        <w:rPr>
          <w:color w:val="000000"/>
          <w:sz w:val="22"/>
          <w:szCs w:val="22"/>
        </w:rPr>
      </w:r>
    </w:p>
    <w:p>
      <w:pPr>
        <w:pStyle w:val="Normal"/>
        <w:tabs>
          <w:tab w:val="left" w:pos="0" w:leader="none"/>
          <w:tab w:val="left" w:pos="720" w:leader="none"/>
          <w:tab w:val="left" w:pos="8640" w:leader="none"/>
        </w:tabs>
        <w:suppressAutoHyphens w:val="true"/>
        <w:jc w:val="both"/>
        <w:rPr>
          <w:b/>
          <w:bCs/>
          <w:color w:val="000000"/>
          <w:sz w:val="22"/>
          <w:szCs w:val="22"/>
        </w:rPr>
      </w:pPr>
      <w:r>
        <w:rPr>
          <w:b/>
          <w:bCs/>
          <w:color w:val="000000"/>
          <w:sz w:val="22"/>
          <w:szCs w:val="22"/>
        </w:rPr>
        <w:t>CHANGES TO SCHEDULE TO IMPLEMENT PAPERLESS EOL TRANSACTIONS</w:t>
      </w:r>
    </w:p>
    <w:p>
      <w:pPr>
        <w:pStyle w:val="Normal"/>
        <w:tabs>
          <w:tab w:val="left" w:pos="0" w:leader="none"/>
          <w:tab w:val="left" w:pos="720" w:leader="none"/>
          <w:tab w:val="left" w:pos="8640" w:leader="none"/>
        </w:tabs>
        <w:suppressAutoHyphens w:val="true"/>
        <w:jc w:val="both"/>
        <w:rPr>
          <w:b/>
          <w:bCs/>
          <w:color w:val="000000"/>
          <w:sz w:val="22"/>
          <w:szCs w:val="22"/>
        </w:rPr>
      </w:pPr>
      <w:r>
        <w:rPr>
          <w:b/>
          <w:bCs/>
          <w:color w:val="000000"/>
          <w:sz w:val="22"/>
          <w:szCs w:val="22"/>
        </w:rPr>
      </w:r>
    </w:p>
    <w:p>
      <w:pPr>
        <w:pStyle w:val="Normal"/>
        <w:tabs>
          <w:tab w:val="left" w:pos="0" w:leader="none"/>
          <w:tab w:val="left" w:pos="720" w:leader="none"/>
          <w:tab w:val="left" w:pos="8640" w:leader="none"/>
        </w:tabs>
        <w:suppressAutoHyphens w:val="true"/>
        <w:jc w:val="both"/>
        <w:rPr>
          <w:b/>
          <w:bCs/>
          <w:color w:val="000000"/>
          <w:sz w:val="22"/>
          <w:szCs w:val="22"/>
        </w:rPr>
      </w:pPr>
      <w:r>
        <w:rPr>
          <w:b/>
          <w:bCs/>
          <w:color w:val="000000"/>
          <w:sz w:val="22"/>
          <w:szCs w:val="22"/>
        </w:rPr>
      </w:r>
    </w:p>
    <w:p>
      <w:pPr>
        <w:pStyle w:val="Normal"/>
        <w:tabs>
          <w:tab w:val="left" w:pos="0" w:leader="none"/>
          <w:tab w:val="left" w:pos="720" w:leader="none"/>
          <w:tab w:val="left" w:pos="8640" w:leader="none"/>
        </w:tabs>
        <w:suppressAutoHyphens w:val="true"/>
        <w:jc w:val="both"/>
        <w:rPr>
          <w:color w:val="000000"/>
          <w:sz w:val="22"/>
          <w:szCs w:val="22"/>
          <w:u w:val="single"/>
        </w:rPr>
      </w:pPr>
      <w:r>
        <w:rPr>
          <w:color w:val="000000"/>
          <w:sz w:val="22"/>
          <w:szCs w:val="22"/>
          <w:u w:val="single"/>
        </w:rPr>
        <w:t>In Part 5 of the Schedule:</w:t>
      </w:r>
    </w:p>
    <w:p>
      <w:pPr>
        <w:pStyle w:val="Normal"/>
        <w:tabs>
          <w:tab w:val="left" w:pos="0" w:leader="none"/>
          <w:tab w:val="left" w:pos="720" w:leader="none"/>
          <w:tab w:val="left" w:pos="8640" w:leader="none"/>
        </w:tabs>
        <w:suppressAutoHyphens w:val="true"/>
        <w:jc w:val="both"/>
        <w:rPr>
          <w:color w:val="000000"/>
          <w:sz w:val="22"/>
          <w:szCs w:val="22"/>
          <w:u w:val="single"/>
        </w:rPr>
      </w:pPr>
      <w:r>
        <w:rPr>
          <w:color w:val="000000"/>
          <w:sz w:val="22"/>
          <w:szCs w:val="22"/>
          <w:u w:val="single"/>
        </w:rPr>
      </w:r>
    </w:p>
    <w:p>
      <w:pPr>
        <w:pStyle w:val="Normal"/>
        <w:tabs>
          <w:tab w:val="left" w:pos="0" w:leader="none"/>
          <w:tab w:val="left" w:pos="720" w:leader="none"/>
          <w:tab w:val="left" w:pos="8640" w:leader="none"/>
        </w:tabs>
        <w:suppressAutoHyphens w:val="true"/>
        <w:jc w:val="both"/>
        <w:rPr/>
      </w:pPr>
      <w:r>
        <w:rPr>
          <w:color w:val="000000"/>
          <w:sz w:val="22"/>
          <w:szCs w:val="22"/>
        </w:rPr>
        <w:t xml:space="preserve">(e)  </w:t>
      </w:r>
      <w:r>
        <w:rPr>
          <w:b/>
          <w:bCs/>
          <w:color w:val="000000"/>
          <w:sz w:val="22"/>
          <w:szCs w:val="22"/>
        </w:rPr>
        <w:t xml:space="preserve">Procedures for Entering into Transactions.   </w:t>
      </w:r>
      <w:r>
        <w:rPr>
          <w:color w:val="000000"/>
          <w:sz w:val="22"/>
        </w:rPr>
        <w:t xml:space="preserve">The parties hereby amend Section 9(e)(ii) by adding the following paragraphs at the end thereof:   </w:t>
      </w:r>
    </w:p>
    <w:p>
      <w:pPr>
        <w:pStyle w:val="Normal"/>
        <w:tabs>
          <w:tab w:val="left" w:pos="0" w:leader="none"/>
          <w:tab w:val="left" w:pos="720" w:leader="none"/>
          <w:tab w:val="left" w:pos="8640" w:leader="none"/>
        </w:tabs>
        <w:suppressAutoHyphens w:val="true"/>
        <w:jc w:val="both"/>
        <w:rPr>
          <w:color w:val="000000"/>
          <w:sz w:val="22"/>
        </w:rPr>
      </w:pPr>
      <w:r>
        <w:rPr>
          <w:color w:val="000000"/>
          <w:sz w:val="22"/>
        </w:rPr>
      </w:r>
    </w:p>
    <w:p>
      <w:pPr>
        <w:pStyle w:val="Normal"/>
        <w:rPr/>
      </w:pPr>
      <w:r>
        <w:rPr>
          <w:color w:val="000000"/>
          <w:sz w:val="22"/>
        </w:rPr>
        <w:t>“</w:t>
      </w:r>
      <w:r>
        <w:rPr>
          <w:color w:val="000000"/>
          <w:sz w:val="22"/>
          <w:u w:val="single"/>
        </w:rPr>
        <w:t>Concerning Transactions other than EOL Transactions (as below defined)</w:t>
      </w:r>
      <w:r>
        <w:rPr>
          <w:color w:val="000000"/>
          <w:sz w:val="22"/>
        </w:rPr>
        <w:t>.  [no changes to usual provision]</w:t>
      </w:r>
    </w:p>
    <w:p>
      <w:pPr>
        <w:pStyle w:val="Normal"/>
        <w:rPr>
          <w:color w:val="000000"/>
          <w:sz w:val="22"/>
        </w:rPr>
      </w:pPr>
      <w:r>
        <w:rPr>
          <w:color w:val="000000"/>
          <w:sz w:val="22"/>
        </w:rPr>
      </w:r>
    </w:p>
    <w:p>
      <w:pPr>
        <w:pStyle w:val="Normal"/>
        <w:jc w:val="both"/>
        <w:rPr/>
      </w:pPr>
      <w:r>
        <w:rPr>
          <w:color w:val="000000"/>
          <w:sz w:val="22"/>
          <w:u w:val="single"/>
        </w:rPr>
        <w:t>Concerning EOL Transactions</w:t>
      </w:r>
      <w:r>
        <w:rPr>
          <w:color w:val="000000"/>
          <w:sz w:val="22"/>
        </w:rPr>
        <w:t xml:space="preserve">.  </w:t>
      </w:r>
      <w:r>
        <w:rPr>
          <w:sz w:val="22"/>
        </w:rPr>
        <w:t>The parties have previously entered into, and expect in the future to enter into, Transactions in which the relevant Commodity is either natural gas or power from time to time using the EnronOnline trading system (“EOL”) (each an “EOL Transaction” and collectively the “EOL Transactions” whether entered into before, on, or after the date of this Agreement).  Neither party is required to send to the other a Confirmation of any EOL Transaction, and failure to send a Confirmation of an EOL Transaction shall not constitute a default or have any other ramification under this Agreement.  The EOL Transactions shall be binding on the parties and shall be governed by all other provisions of this Agreement to the same extent as if Confirmations had been sent by one party and executed and returned by the other.  The electronic records of the EOL Transactions available on EOL shall supplement, form a part of, and be subject to the terms of this Agreement and this paragraph shall apply to any EOL Transaction that has not been documented in a Confirmation executed and delivered by both parties.  Each 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electronic records on the basis that such were not originated or maintained in documentary form under either the hearsay rule, the best evidence rule or other rule of evidence.”</w:t>
      </w:r>
    </w:p>
    <w:p>
      <w:pPr>
        <w:pStyle w:val="Normal"/>
        <w:rPr>
          <w:sz w:val="22"/>
        </w:rPr>
      </w:pPr>
      <w:r>
        <w:rPr>
          <w:sz w:val="22"/>
        </w:rPr>
      </w:r>
    </w:p>
    <w:p>
      <w:pPr>
        <w:pStyle w:val="Normal"/>
        <w:rPr>
          <w:sz w:val="22"/>
          <w:u w:val="single"/>
        </w:rPr>
      </w:pPr>
      <w:r>
        <w:rPr>
          <w:sz w:val="22"/>
          <w:u w:val="single"/>
        </w:rPr>
        <w:t>In Part 6 of the Schedule:  add (g) rounding for commodities, renumber, and add second sentence to (h) covering power published price corrections.</w:t>
      </w:r>
    </w:p>
    <w:p>
      <w:pPr>
        <w:pStyle w:val="Normal"/>
        <w:rPr>
          <w:sz w:val="22"/>
          <w:u w:val="single"/>
        </w:rPr>
      </w:pPr>
      <w:r>
        <w:rPr>
          <w:sz w:val="22"/>
          <w:u w:val="single"/>
        </w:rPr>
      </w:r>
    </w:p>
    <w:p>
      <w:pPr>
        <w:pStyle w:val="Normal"/>
        <w:ind w:firstLine="720" w:end="0"/>
        <w:jc w:val="both"/>
        <w:rPr/>
      </w:pPr>
      <w:r>
        <w:rPr/>
        <w:t xml:space="preserve">(g) </w:t>
      </w:r>
      <w:r>
        <w:rPr>
          <w:sz w:val="22"/>
        </w:rPr>
        <w:t>The following rounding conventions shall apply for the purpose of calculating the Floating Price(s) with respect to applicable Transactions.  Floating Price(s) relating to Commodities quoted (i) in gallons shall be rounded to five places, (ii) in MMBtus shall be rounded to four places, (iii) in barrels shall be rounded to three places, (iv) in gigajoules shall be rounded to four places, and (v) in electric power units shall be rounded to three places.  If the number after the final number is five or greater, then the final number shall be increased by one, and if the number after the final number is less than five then the final number shall remain unchanged.</w:t>
      </w:r>
    </w:p>
    <w:p>
      <w:pPr>
        <w:pStyle w:val="Normal"/>
        <w:jc w:val="both"/>
        <w:rPr>
          <w:sz w:val="22"/>
        </w:rPr>
      </w:pPr>
      <w:r>
        <w:rPr>
          <w:sz w:val="22"/>
        </w:rPr>
      </w:r>
    </w:p>
    <w:p>
      <w:pPr>
        <w:pStyle w:val="Normal"/>
        <w:ind w:firstLine="720" w:end="0"/>
        <w:jc w:val="both"/>
        <w:rPr>
          <w:color w:val="000000"/>
          <w:sz w:val="22"/>
          <w:szCs w:val="22"/>
        </w:rPr>
      </w:pPr>
      <w:r>
        <w:rPr>
          <w:color w:val="000000"/>
          <w:sz w:val="22"/>
          <w:szCs w:val="22"/>
        </w:rPr>
        <w:t xml:space="preserve">(h)  For purposes of any Transaction in which paper or pulp is the relevant Commodity, the phrase "within 30 calendar days" in line 5 of Section 7.3 of the Commodity Definitions shall be replaced by the phrase "within 40 calendar days."  </w:t>
      </w:r>
      <w:r>
        <w:rPr>
          <w:sz w:val="22"/>
        </w:rPr>
        <w:t>For purposes of any Transaction in which electric power is the relevant Commodity, line 5 of Section 7.3 of the Commodity Definitions shall be amended to delete therefrom the words “within 30 calendar days of the original publication or announcement.”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 xml:space="preserve">(i)  [usual (h) changes to (i)] </w:t>
      </w:r>
    </w:p>
    <w:p>
      <w:pPr>
        <w:pStyle w:val="Normal"/>
        <w:rPr>
          <w:color w:val="000000"/>
          <w:sz w:val="22"/>
          <w:szCs w:val="22"/>
        </w:rPr>
      </w:pPr>
      <w:r>
        <w:rPr>
          <w:color w:val="000000"/>
          <w:sz w:val="22"/>
          <w:szCs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/mnt/main-storage/datasets/enron-docs/doc/EOL_Form_Revision_Proposal.doc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2001-09-07T18:52:00Z</dcterms:created>
  <dc:creator>mcook</dc:creator>
  <dc:description/>
  <dc:language>en-CA</dc:language>
  <cp:lastModifiedBy>mcook</cp:lastModifiedBy>
  <cp:lastPrinted>2001-09-07T16:35:00Z</cp:lastPrinted>
  <dcterms:modified xsi:type="dcterms:W3CDTF">2001-09-07T19:06:00Z</dcterms:modified>
  <cp:revision>5</cp:revision>
  <dc:subject/>
  <dc:title/>
</cp:coreProperties>
</file>