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893"/>
        <w:jc w:val="center"/>
        <w:rPr/>
      </w:pPr>
      <w:r>
        <w:rPr/>
      </w:r>
    </w:p>
    <w:p>
      <w:pPr>
        <w:pStyle w:val="Normal"/>
        <w:ind w:end="893"/>
        <w:jc w:val="center"/>
        <w:rPr/>
      </w:pPr>
      <w:r>
        <w:rPr/>
      </w:r>
    </w:p>
    <w:p>
      <w:pPr>
        <w:pStyle w:val="Normal"/>
        <w:ind w:end="893"/>
        <w:jc w:val="center"/>
        <w:rPr>
          <w:sz w:val="36"/>
        </w:rPr>
      </w:pPr>
      <w:r>
        <w:rPr>
          <w:sz w:val="36"/>
        </w:rPr>
      </w:r>
    </w:p>
    <w:p>
      <w:pPr>
        <w:pStyle w:val="TOC1"/>
        <w:rPr>
          <w:sz w:val="36"/>
        </w:rPr>
      </w:pPr>
      <w:r>
        <w:rPr>
          <w:sz w:val="36"/>
        </w:rPr>
      </w:r>
    </w:p>
    <w:p>
      <w:pPr>
        <w:pStyle w:val="TOC1"/>
        <w:rPr/>
      </w:pPr>
      <w:r>
        <w:rPr/>
      </w:r>
    </w:p>
    <w:p>
      <w:pPr>
        <w:pStyle w:val="TOC1"/>
        <w:ind w:end="0"/>
        <w:rPr/>
      </w:pPr>
      <w:r>
        <w:rPr/>
        <w:t>Proposal to EnronOnline</w:t>
      </w:r>
    </w:p>
    <w:p>
      <w:pPr>
        <w:pStyle w:val="Normal"/>
        <w:jc w:val="end"/>
        <w:rPr>
          <w:b/>
          <w:i/>
          <w:i/>
          <w:iCs/>
          <w:smallCaps/>
          <w:sz w:val="36"/>
        </w:rPr>
      </w:pPr>
      <w:r>
        <w:rPr>
          <w:b/>
          <w:i/>
          <w:iCs/>
          <w:smallCaps/>
          <w:sz w:val="36"/>
        </w:rPr>
        <w:t>Data Redistribution</w:t>
      </w:r>
    </w:p>
    <w:p>
      <w:pPr>
        <w:pStyle w:val="Normal"/>
        <w:jc w:val="center"/>
        <w:rPr>
          <w:b/>
          <w:i/>
          <w:i/>
          <w:iCs/>
          <w:smallCaps/>
          <w:sz w:val="32"/>
        </w:rPr>
      </w:pPr>
      <w:r>
        <w:rPr>
          <w:b/>
          <w:i/>
          <w:iCs/>
          <w:smallCaps/>
          <w:sz w:val="32"/>
        </w:rPr>
      </w:r>
    </w:p>
    <w:p>
      <w:pPr>
        <w:pStyle w:val="Normal"/>
        <w:jc w:val="center"/>
        <w:rPr>
          <w:b/>
          <w:sz w:val="28"/>
          <w:lang w:val="en-CA" w:eastAsia="en-CA"/>
        </w:rPr>
      </w:pPr>
      <w:r>
        <w:rPr>
          <w:b/>
          <w:sz w:val="28"/>
          <w:lang w:val="en-CA" w:eastAsia="en-CA"/>
        </w:rPr>
        <w:object w:dxaOrig="6211" w:dyaOrig="611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66.05pt;margin-top:27.1pt;width:280.8pt;height:223.2pt;mso-wrap-distance-left:9.05pt;mso-wrap-distance-right:9.05pt;mso-position-horizontal-relative:text;mso-position-vertical-relative:text" filled="f" o:ole="">
            <v:imagedata r:id="rId3" o:title=""/>
            <w10:wrap type="topAndBottom"/>
          </v:shape>
          <o:OLEObject Type="Embed" ProgID="" ShapeID="ole_rId2" DrawAspect="Content" ObjectID="_1120770922" r:id="rId2"/>
        </w:object>
      </w:r>
    </w:p>
    <w:p>
      <w:pPr>
        <w:pStyle w:val="Normal"/>
        <w:jc w:val="center"/>
        <w:rPr>
          <w:b/>
          <w:sz w:val="28"/>
        </w:rPr>
      </w:pPr>
      <w:r>
        <w:rPr>
          <w:b/>
          <w:sz w:val="28"/>
        </w:rPr>
      </w:r>
    </w:p>
    <w:p>
      <w:pPr>
        <w:pStyle w:val="Normal"/>
        <w:jc w:val="end"/>
        <w:rPr>
          <w:b/>
          <w:sz w:val="40"/>
        </w:rPr>
      </w:pPr>
      <w:r>
        <w:rPr>
          <w:b/>
          <w:sz w:val="40"/>
        </w:rPr>
      </w:r>
    </w:p>
    <w:p>
      <w:pPr>
        <w:pStyle w:val="Normal"/>
        <w:jc w:val="end"/>
        <w:rPr>
          <w:rFonts w:cs="Arial"/>
          <w:b/>
          <w:sz w:val="32"/>
        </w:rPr>
      </w:pPr>
      <w:r>
        <w:rPr>
          <w:rFonts w:cs="Arial"/>
          <w:b/>
          <w:sz w:val="32"/>
        </w:rPr>
        <w:t>March 19, 2001</w:t>
      </w:r>
    </w:p>
    <w:p>
      <w:pPr>
        <w:pStyle w:val="Normal"/>
        <w:jc w:val="end"/>
        <w:rPr>
          <w:rFonts w:cs="Arial"/>
          <w:b/>
          <w:sz w:val="32"/>
        </w:rPr>
      </w:pPr>
      <w:r>
        <w:rPr>
          <w:rFonts w:cs="Arial"/>
          <w:b/>
          <w:sz w:val="32"/>
        </w:rPr>
      </w:r>
    </w:p>
    <w:p>
      <w:pPr>
        <w:pStyle w:val="Normal"/>
        <w:jc w:val="end"/>
        <w:rPr>
          <w:b/>
          <w:sz w:val="32"/>
        </w:rPr>
      </w:pPr>
      <w:r>
        <w:rPr>
          <w:b/>
          <w:sz w:val="32"/>
        </w:rPr>
      </w:r>
    </w:p>
    <w:p>
      <w:pPr>
        <w:pStyle w:val="BodyText"/>
        <w:jc w:val="end"/>
        <w:rPr>
          <w:rFonts w:ascii="Times New Roman" w:hAnsi="Times New Roman" w:cs="Times New Roman"/>
          <w:b/>
          <w:bCs/>
          <w:sz w:val="32"/>
        </w:rPr>
      </w:pPr>
      <w:r>
        <w:rPr>
          <w:rFonts w:cs="Times New Roman" w:ascii="Times New Roman" w:hAnsi="Times New Roman"/>
          <w:b/>
          <w:bCs/>
          <w:sz w:val="32"/>
        </w:rPr>
        <w:t xml:space="preserve">223 West Jackson Blvd. </w:t>
        <w:br/>
        <w:t xml:space="preserve">Suite 610 </w:t>
        <w:br/>
        <w:t xml:space="preserve">Chicago, Illinois </w:t>
        <w:br/>
        <w:t>60606</w:t>
      </w:r>
    </w:p>
    <w:p>
      <w:pPr>
        <w:pStyle w:val="Normal"/>
        <w:jc w:val="end"/>
        <w:rPr>
          <w:rFonts w:ascii="Times New Roman" w:hAnsi="Times New Roman" w:cs="Times New Roman"/>
          <w:b/>
          <w:bCs/>
          <w:sz w:val="32"/>
        </w:rPr>
      </w:pPr>
      <w:r>
        <w:rPr>
          <w:rFonts w:cs="Times New Roman"/>
          <w:b/>
          <w:bCs/>
          <w:sz w:val="32"/>
        </w:rPr>
      </w:r>
    </w:p>
    <w:p>
      <w:pPr>
        <w:pStyle w:val="Normal"/>
        <w:jc w:val="end"/>
        <w:rPr>
          <w:rFonts w:cs="Arial"/>
          <w:b/>
          <w:bCs/>
          <w:sz w:val="32"/>
        </w:rPr>
      </w:pPr>
      <w:r>
        <w:rPr>
          <w:rFonts w:cs="Arial"/>
          <w:b/>
          <w:bCs/>
          <w:sz w:val="32"/>
        </w:rPr>
        <w:t>312.786.0110 (telephone)</w:t>
      </w:r>
    </w:p>
    <w:p>
      <w:pPr>
        <w:pStyle w:val="Normal"/>
        <w:jc w:val="end"/>
        <w:rPr>
          <w:b/>
          <w:sz w:val="32"/>
        </w:rPr>
      </w:pPr>
      <w:r>
        <w:rPr>
          <w:rFonts w:cs="Arial"/>
          <w:b/>
          <w:bCs/>
          <w:sz w:val="32"/>
        </w:rPr>
        <w:t>312.939.8289  (facsimile)</w:t>
      </w:r>
      <w:r>
        <w:br w:type="page"/>
      </w:r>
    </w:p>
    <w:p>
      <w:pPr>
        <w:pStyle w:val="TOC1"/>
        <w:ind w:end="0"/>
        <w:rPr>
          <w:b/>
          <w:sz w:val="32"/>
        </w:rPr>
      </w:pPr>
      <w:r>
        <w:rPr>
          <w:b/>
          <w:sz w:val="32"/>
        </w:rPr>
      </w:r>
    </w:p>
    <w:p>
      <w:pPr>
        <w:pStyle w:val="Normal"/>
        <w:rPr>
          <w:b/>
          <w:bCs/>
          <w:i/>
          <w:i/>
          <w:smallCaps/>
          <w:sz w:val="36"/>
        </w:rPr>
      </w:pPr>
      <w:r>
        <w:rPr>
          <w:b/>
          <w:bCs/>
          <w:i/>
          <w:smallCaps/>
          <w:sz w:val="36"/>
        </w:rPr>
        <w:t>Proposal</w:t>
      </w:r>
    </w:p>
    <w:p>
      <w:pPr>
        <w:pStyle w:val="Normal"/>
        <w:rPr>
          <w:rFonts w:cs="Arial"/>
          <w:b/>
          <w:bCs/>
          <w:i/>
          <w:i/>
          <w:iCs/>
          <w:smallCaps/>
          <w:sz w:val="36"/>
        </w:rPr>
      </w:pPr>
      <w:r>
        <w:rPr>
          <w:rFonts w:cs="Arial"/>
          <w:b/>
          <w:bCs/>
          <w:i/>
          <w:iCs/>
          <w:smallCaps/>
          <w:sz w:val="36"/>
        </w:rPr>
      </w:r>
    </w:p>
    <w:p>
      <w:pPr>
        <w:pStyle w:val="Normal"/>
        <w:rPr>
          <w:rFonts w:cs="Arial"/>
          <w:b/>
          <w:bCs/>
          <w:i/>
          <w:i/>
          <w:iCs/>
        </w:rPr>
      </w:pPr>
      <w:r>
        <w:rPr>
          <w:rFonts w:cs="Arial"/>
          <w:b/>
          <w:bCs/>
          <w:i/>
          <w:iCs/>
        </w:rPr>
      </w:r>
    </w:p>
    <w:p>
      <w:pPr>
        <w:pStyle w:val="Normal"/>
        <w:rPr/>
      </w:pPr>
      <w:r>
        <w:rPr/>
      </w:r>
    </w:p>
    <w:p>
      <w:pPr>
        <w:pStyle w:val="Normal"/>
        <w:jc w:val="both"/>
        <w:rPr/>
      </w:pPr>
      <w:r>
        <w:rPr/>
        <w:t>GlobalView Software Inc. (GVSI) is a leader in the energy industry as a systems integrator utilizing technology to distribute, database and manage market information. Its products and services represent high value to both its customers and its strategic partners.</w:t>
      </w:r>
    </w:p>
    <w:p>
      <w:pPr>
        <w:pStyle w:val="Heading2"/>
        <w:ind w:hanging="0" w:start="0"/>
        <w:jc w:val="both"/>
        <w:rPr/>
      </w:pPr>
      <w:r>
        <w:rPr/>
      </w:r>
    </w:p>
    <w:p>
      <w:pPr>
        <w:pStyle w:val="Heading2"/>
        <w:ind w:hanging="0" w:start="0"/>
        <w:jc w:val="both"/>
        <w:rPr/>
      </w:pPr>
      <w:r>
        <w:rPr/>
        <w:t>GVSI Advantages</w:t>
      </w:r>
    </w:p>
    <w:p>
      <w:pPr>
        <w:pStyle w:val="CommentText"/>
        <w:jc w:val="both"/>
        <w:rPr/>
      </w:pPr>
      <w:r>
        <w:rPr/>
      </w:r>
    </w:p>
    <w:p>
      <w:pPr>
        <w:pStyle w:val="CommentText"/>
        <w:jc w:val="both"/>
        <w:rPr/>
      </w:pPr>
      <w:r>
        <w:rPr/>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t>GVSI offers the most advanced Internet services in the energy market information industry.</w:t>
      </w:r>
    </w:p>
    <w:p>
      <w:pPr>
        <w:pStyle w:val="Normal"/>
        <w:numPr>
          <w:ilvl w:val="0"/>
          <w:numId w:val="13"/>
        </w:numPr>
        <w:spacing w:before="0" w:after="120"/>
        <w:jc w:val="both"/>
        <w:rPr/>
      </w:pPr>
      <w:r>
        <w:rPr/>
        <w:t>Internet data delivery allows a low-cost delivery option requiring little investment in infrastructure.</w:t>
      </w:r>
    </w:p>
    <w:p>
      <w:pPr>
        <w:pStyle w:val="Normal"/>
        <w:numPr>
          <w:ilvl w:val="0"/>
          <w:numId w:val="13"/>
        </w:numPr>
        <w:spacing w:before="0" w:after="120"/>
        <w:jc w:val="both"/>
        <w:rPr/>
      </w:pPr>
      <w:r>
        <w:rPr/>
        <w:t>Delivers prices and news in both real-time streaming and non-real-time (daily) via Internet connection.</w:t>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t>GVSI offers the most feature-rich front-end client applications for information display.</w:t>
      </w:r>
    </w:p>
    <w:p>
      <w:pPr>
        <w:pStyle w:val="Normal"/>
        <w:jc w:val="both"/>
        <w:rPr>
          <w:rFonts w:ascii="Times New Roman" w:hAnsi="Times New Roman" w:cs="Times New Roman"/>
          <w:b/>
          <w:bCs/>
          <w:i/>
          <w:i/>
          <w:iCs/>
        </w:rPr>
      </w:pPr>
      <w:r>
        <w:rPr>
          <w:rFonts w:cs="Times New Roman"/>
          <w:b/>
          <w:bCs/>
          <w:i/>
          <w:iCs/>
        </w:rPr>
      </w:r>
    </w:p>
    <w:p>
      <w:pPr>
        <w:pStyle w:val="Normal"/>
        <w:numPr>
          <w:ilvl w:val="0"/>
          <w:numId w:val="13"/>
        </w:numPr>
        <w:spacing w:before="0" w:after="120"/>
        <w:jc w:val="both"/>
        <w:rPr/>
      </w:pPr>
      <w:r>
        <w:rPr/>
        <w:t>GVSI offers an advanced Java applet web browser application, MarketView, for displaying and manipulating real-time streaming market information, in addition to GlobalView, its client/server Windows application.</w:t>
      </w:r>
    </w:p>
    <w:p>
      <w:pPr>
        <w:pStyle w:val="Normal"/>
        <w:numPr>
          <w:ilvl w:val="0"/>
          <w:numId w:val="13"/>
        </w:numPr>
        <w:spacing w:before="0" w:after="120"/>
        <w:jc w:val="both"/>
        <w:rPr/>
      </w:pPr>
      <w:r>
        <w:rPr/>
        <w:t>GVSI offers powerful data analysis tools that, unlike the competition, allow data from multiple sources to be used together.</w:t>
      </w:r>
    </w:p>
    <w:p>
      <w:pPr>
        <w:pStyle w:val="Normal"/>
        <w:numPr>
          <w:ilvl w:val="0"/>
          <w:numId w:val="13"/>
        </w:numPr>
        <w:spacing w:before="0" w:after="120"/>
        <w:jc w:val="both"/>
        <w:rPr/>
      </w:pPr>
      <w:r>
        <w:rPr/>
        <w:t>Modular, yet high function display tools provide low cost entry for customers for access to many data sources.</w:t>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t>GVSI technology provides more granularity in controlling data entitlements.</w:t>
      </w:r>
    </w:p>
    <w:p>
      <w:pPr>
        <w:pStyle w:val="Normal"/>
        <w:jc w:val="both"/>
        <w:rPr>
          <w:rFonts w:ascii="Times New Roman" w:hAnsi="Times New Roman" w:cs="Times New Roman"/>
          <w:b/>
          <w:bCs/>
          <w:i/>
          <w:i/>
          <w:iCs/>
        </w:rPr>
      </w:pPr>
      <w:r>
        <w:rPr>
          <w:rFonts w:cs="Times New Roman"/>
          <w:b/>
          <w:bCs/>
          <w:i/>
          <w:iCs/>
        </w:rPr>
      </w:r>
    </w:p>
    <w:p>
      <w:pPr>
        <w:pStyle w:val="Normal"/>
        <w:numPr>
          <w:ilvl w:val="0"/>
          <w:numId w:val="13"/>
        </w:numPr>
        <w:spacing w:before="0" w:after="120"/>
        <w:jc w:val="both"/>
        <w:rPr/>
      </w:pPr>
      <w:r>
        <w:rPr/>
        <w:t>The GlobalView data servers allow control of data content down to the individual user level and price data can be partitioned. Unbundled pricing provides significant cost advantages to customers.</w:t>
      </w:r>
    </w:p>
    <w:p>
      <w:pPr>
        <w:pStyle w:val="Normal"/>
        <w:numPr>
          <w:ilvl w:val="0"/>
          <w:numId w:val="13"/>
        </w:numPr>
        <w:spacing w:before="0" w:after="120"/>
        <w:jc w:val="both"/>
        <w:rPr/>
      </w:pPr>
      <w:r>
        <w:rPr/>
        <w:t>GVSI will provide a web browser interface to its customers allowing self-administration for data content and software features within the new MarketView application.</w:t>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t>GVSI has extensive experience in the energy market information industry.</w:t>
      </w:r>
    </w:p>
    <w:p>
      <w:pPr>
        <w:pStyle w:val="Normal"/>
        <w:jc w:val="both"/>
        <w:rPr>
          <w:rFonts w:ascii="Times New Roman" w:hAnsi="Times New Roman" w:cs="Times New Roman"/>
          <w:b/>
          <w:bCs/>
          <w:i/>
          <w:i/>
          <w:iCs/>
        </w:rPr>
      </w:pPr>
      <w:r>
        <w:rPr>
          <w:rFonts w:cs="Times New Roman"/>
          <w:b/>
          <w:bCs/>
          <w:i/>
          <w:iCs/>
        </w:rPr>
      </w:r>
    </w:p>
    <w:p>
      <w:pPr>
        <w:pStyle w:val="Normal"/>
        <w:numPr>
          <w:ilvl w:val="0"/>
          <w:numId w:val="13"/>
        </w:numPr>
        <w:spacing w:before="0" w:after="120"/>
        <w:jc w:val="both"/>
        <w:rPr/>
      </w:pPr>
      <w:r>
        <w:rPr/>
        <w:t>GVSI integrates with and maintains strategic partner relationships with a wide selection of energy market data sources.</w:t>
      </w:r>
    </w:p>
    <w:p>
      <w:pPr>
        <w:pStyle w:val="Normal"/>
        <w:numPr>
          <w:ilvl w:val="0"/>
          <w:numId w:val="13"/>
        </w:numPr>
        <w:spacing w:before="0" w:after="120"/>
        <w:jc w:val="both"/>
        <w:rPr/>
      </w:pPr>
      <w:r>
        <w:rPr/>
        <w:t>GVSI has broad experience working with energy market information dating back twenty years and was the first to handle digital price data for market assessments from Platts.</w:t>
      </w:r>
    </w:p>
    <w:p>
      <w:pPr>
        <w:pStyle w:val="Normal"/>
        <w:numPr>
          <w:ilvl w:val="0"/>
          <w:numId w:val="13"/>
        </w:numPr>
        <w:spacing w:before="0" w:after="120"/>
        <w:jc w:val="both"/>
        <w:rPr/>
      </w:pPr>
      <w:r>
        <w:rPr/>
        <w:t>GVSI was selected as the infrastructure provider by NYMEX for its new enymex on-line market, delivering Java applets and framework for real-time trading and information display.</w:t>
      </w:r>
    </w:p>
    <w:p>
      <w:pPr>
        <w:pStyle w:val="Normal"/>
        <w:numPr>
          <w:ilvl w:val="0"/>
          <w:numId w:val="13"/>
        </w:numPr>
        <w:spacing w:before="0" w:after="120"/>
        <w:jc w:val="both"/>
        <w:rPr/>
      </w:pPr>
      <w:r>
        <w:rPr/>
        <w:t>GVSI can act as the agent for the data provider in distributing data to other distributors.</w:t>
      </w:r>
    </w:p>
    <w:p>
      <w:pPr>
        <w:pStyle w:val="Normal"/>
        <w:numPr>
          <w:ilvl w:val="0"/>
          <w:numId w:val="13"/>
        </w:numPr>
        <w:spacing w:before="0" w:after="120"/>
        <w:jc w:val="both"/>
        <w:rPr/>
      </w:pPr>
      <w:r>
        <w:rPr/>
        <w:t>GVSI offers neutrality in the energy market information industry having no direct participation in any on-line exchange, private exchange, data publisher, communications provider or middle and back-office software systems provider.</w:t>
      </w:r>
    </w:p>
    <w:p>
      <w:pPr>
        <w:pStyle w:val="Heading3"/>
        <w:ind w:start="360" w:end="0"/>
        <w:jc w:val="both"/>
        <w:rPr>
          <w:b/>
          <w:bCs/>
          <w:sz w:val="20"/>
        </w:rPr>
      </w:pPr>
      <w:r>
        <w:rPr>
          <w:b/>
          <w:bCs/>
          <w:sz w:val="20"/>
        </w:rPr>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t>GVSI provides the most comprehensive Data Integration capabilities.</w:t>
      </w:r>
    </w:p>
    <w:p>
      <w:pPr>
        <w:pStyle w:val="Normal"/>
        <w:jc w:val="both"/>
        <w:rPr>
          <w:rFonts w:ascii="Times New Roman" w:hAnsi="Times New Roman" w:cs="Times New Roman"/>
          <w:b/>
          <w:bCs/>
          <w:i/>
          <w:i/>
          <w:iCs/>
        </w:rPr>
      </w:pPr>
      <w:r>
        <w:rPr>
          <w:rFonts w:cs="Times New Roman"/>
          <w:b/>
          <w:bCs/>
          <w:i/>
          <w:iCs/>
        </w:rPr>
      </w:r>
    </w:p>
    <w:p>
      <w:pPr>
        <w:pStyle w:val="Normal"/>
        <w:numPr>
          <w:ilvl w:val="0"/>
          <w:numId w:val="13"/>
        </w:numPr>
        <w:spacing w:before="0" w:after="120"/>
        <w:jc w:val="both"/>
        <w:rPr/>
      </w:pPr>
      <w:r>
        <w:rPr/>
        <w:t>GVSI has extensive experience handling the complete depth and breadth of historical data that the energy market demands.</w:t>
      </w:r>
    </w:p>
    <w:p>
      <w:pPr>
        <w:pStyle w:val="Normal"/>
        <w:numPr>
          <w:ilvl w:val="0"/>
          <w:numId w:val="13"/>
        </w:numPr>
        <w:spacing w:before="0" w:after="120"/>
        <w:jc w:val="both"/>
        <w:rPr/>
      </w:pPr>
      <w:r>
        <w:rPr/>
        <w:t>Data can easily be shared between GlobalView and other desktop applications, such as Microsoft Excel, for customized analysis and reporting.</w:t>
      </w:r>
    </w:p>
    <w:p>
      <w:pPr>
        <w:pStyle w:val="Normal"/>
        <w:numPr>
          <w:ilvl w:val="0"/>
          <w:numId w:val="13"/>
        </w:numPr>
        <w:spacing w:before="0" w:after="120"/>
        <w:jc w:val="both"/>
        <w:rPr/>
      </w:pPr>
      <w:r>
        <w:rPr/>
        <w:t>Open technology allows customers to eliminate or reduce use of proprietary hardware; use of Microsoft technology allows simple integration into the corporate computing environments of most customers.</w:t>
      </w:r>
    </w:p>
    <w:p>
      <w:pPr>
        <w:pStyle w:val="Normal"/>
        <w:numPr>
          <w:ilvl w:val="0"/>
          <w:numId w:val="13"/>
        </w:numPr>
        <w:spacing w:before="0" w:after="120"/>
        <w:jc w:val="both"/>
        <w:rPr/>
      </w:pPr>
      <w:r>
        <w:rPr/>
        <w:t>Data can easily be imported to and exported from the GlobalView servers to middle and back-office systems such as TIBCO Rendezvous, SAP, SQL Server, Kiodex, etc.</w:t>
      </w:r>
    </w:p>
    <w:p>
      <w:pPr>
        <w:pStyle w:val="Heading3"/>
        <w:ind w:start="360" w:end="0"/>
        <w:jc w:val="both"/>
        <w:rPr>
          <w:b/>
          <w:bCs/>
          <w:sz w:val="20"/>
        </w:rPr>
      </w:pPr>
      <w:r>
        <w:rPr>
          <w:b/>
          <w:bCs/>
          <w:sz w:val="20"/>
        </w:rPr>
      </w:r>
    </w:p>
    <w:p>
      <w:pPr>
        <w:pStyle w:val="BodyText"/>
        <w:tabs>
          <w:tab w:val="clear" w:pos="720"/>
          <w:tab w:val="left" w:pos="360" w:leader="none"/>
        </w:tabs>
        <w:spacing w:before="0" w:after="120"/>
        <w:rPr>
          <w:rFonts w:ascii="Times New Roman" w:hAnsi="Times New Roman" w:cs="Times New Roman"/>
          <w:b/>
          <w:bCs/>
          <w:i/>
          <w:i/>
          <w:iCs/>
        </w:rPr>
      </w:pPr>
      <w:r>
        <w:rPr>
          <w:rFonts w:cs="Times New Roman" w:ascii="Times New Roman" w:hAnsi="Times New Roman"/>
          <w:b/>
          <w:bCs/>
          <w:i/>
          <w:iCs/>
        </w:rPr>
        <w:t>GVSI provides the highest level of customer service in the industry.</w:t>
      </w:r>
    </w:p>
    <w:p>
      <w:pPr>
        <w:pStyle w:val="CommentText"/>
        <w:jc w:val="both"/>
        <w:rPr>
          <w:rFonts w:ascii="Times New Roman" w:hAnsi="Times New Roman" w:cs="Times New Roman"/>
          <w:b/>
          <w:bCs/>
          <w:i/>
          <w:i/>
          <w:iCs/>
        </w:rPr>
      </w:pPr>
      <w:r>
        <w:rPr>
          <w:rFonts w:cs="Times New Roman"/>
          <w:b/>
          <w:bCs/>
          <w:i/>
          <w:iCs/>
        </w:rPr>
      </w:r>
    </w:p>
    <w:p>
      <w:pPr>
        <w:pStyle w:val="Normal"/>
        <w:numPr>
          <w:ilvl w:val="0"/>
          <w:numId w:val="13"/>
        </w:numPr>
        <w:spacing w:before="0" w:after="120"/>
        <w:jc w:val="both"/>
        <w:rPr/>
      </w:pPr>
      <w:r>
        <w:rPr/>
        <w:t>GVSI delivers pro-active data quality services in order to provide the best possible data to its customers.</w:t>
      </w:r>
    </w:p>
    <w:p>
      <w:pPr>
        <w:pStyle w:val="Normal"/>
        <w:numPr>
          <w:ilvl w:val="0"/>
          <w:numId w:val="13"/>
        </w:numPr>
        <w:spacing w:before="0" w:after="120"/>
        <w:jc w:val="both"/>
        <w:rPr/>
      </w:pPr>
      <w:r>
        <w:rPr/>
        <w:t>GVSI offers extended services to its customers and strategic partners delivering tailored solutions that meet their specific business needs.</w:t>
      </w:r>
    </w:p>
    <w:p>
      <w:pPr>
        <w:pStyle w:val="Normal"/>
        <w:jc w:val="both"/>
        <w:rPr/>
      </w:pPr>
      <w:r>
        <w:rPr/>
      </w:r>
    </w:p>
    <w:p>
      <w:pPr>
        <w:pStyle w:val="Heading2"/>
        <w:ind w:hanging="0" w:start="0"/>
        <w:jc w:val="both"/>
        <w:rPr/>
      </w:pPr>
      <w:r>
        <w:rPr/>
        <w:t>Value Proposition</w:t>
      </w:r>
    </w:p>
    <w:p>
      <w:pPr>
        <w:pStyle w:val="Normal"/>
        <w:jc w:val="both"/>
        <w:rPr/>
      </w:pPr>
      <w:r>
        <w:rPr/>
      </w:r>
    </w:p>
    <w:p>
      <w:pPr>
        <w:pStyle w:val="Normal"/>
        <w:tabs>
          <w:tab w:val="clear" w:pos="720"/>
          <w:tab w:val="left" w:pos="360" w:leader="none"/>
        </w:tabs>
        <w:spacing w:before="0" w:after="120"/>
        <w:jc w:val="both"/>
        <w:rPr/>
      </w:pPr>
      <w:r>
        <w:rPr/>
        <w:t>The GVSI product line enables customers to:</w:t>
      </w:r>
    </w:p>
    <w:p>
      <w:pPr>
        <w:pStyle w:val="Normal"/>
        <w:numPr>
          <w:ilvl w:val="0"/>
          <w:numId w:val="12"/>
        </w:numPr>
        <w:spacing w:before="0" w:after="120"/>
        <w:jc w:val="both"/>
        <w:rPr/>
      </w:pPr>
      <w:r>
        <w:rPr/>
        <w:t>Establish one powerful and consistent framework in which to present and analyze consolidated information from disparate sources.</w:t>
      </w:r>
    </w:p>
    <w:p>
      <w:pPr>
        <w:pStyle w:val="Normal"/>
        <w:numPr>
          <w:ilvl w:val="0"/>
          <w:numId w:val="12"/>
        </w:numPr>
        <w:spacing w:before="0" w:after="120"/>
        <w:jc w:val="both"/>
        <w:rPr/>
      </w:pPr>
      <w:r>
        <w:rPr/>
        <w:t>Eliminate or substantially reduce separate data, terminal, exchange, software and communication fees from multiple vendors.</w:t>
      </w:r>
    </w:p>
    <w:p>
      <w:pPr>
        <w:pStyle w:val="Normal"/>
        <w:numPr>
          <w:ilvl w:val="0"/>
          <w:numId w:val="12"/>
        </w:numPr>
        <w:spacing w:before="0" w:after="120"/>
        <w:jc w:val="both"/>
        <w:rPr/>
      </w:pPr>
      <w:r>
        <w:rPr/>
        <w:t>Establish one powerful central market information database from which customers can supply data to their computer network and to other software applications.</w:t>
      </w:r>
    </w:p>
    <w:p>
      <w:pPr>
        <w:pStyle w:val="Normal"/>
        <w:numPr>
          <w:ilvl w:val="0"/>
          <w:numId w:val="12"/>
        </w:numPr>
        <w:spacing w:before="0" w:after="120"/>
        <w:jc w:val="both"/>
        <w:rPr/>
      </w:pPr>
      <w:r>
        <w:rPr/>
        <w:t>Utilize the Internet for efficient streaming of real-time price and news data.</w:t>
      </w:r>
    </w:p>
    <w:p>
      <w:pPr>
        <w:pStyle w:val="Normal"/>
        <w:numPr>
          <w:ilvl w:val="0"/>
          <w:numId w:val="12"/>
        </w:numPr>
        <w:spacing w:before="0" w:after="120"/>
        <w:jc w:val="both"/>
        <w:rPr/>
      </w:pPr>
      <w:r>
        <w:rPr/>
        <w:t>Integrate a comprehensive cross-section of industry market information, on-line exchange and proprietary data into one powerful interface.</w:t>
      </w:r>
    </w:p>
    <w:p>
      <w:pPr>
        <w:pStyle w:val="Normal"/>
        <w:jc w:val="both"/>
        <w:rPr/>
      </w:pPr>
      <w:r>
        <w:rPr/>
      </w:r>
    </w:p>
    <w:p>
      <w:pPr>
        <w:pStyle w:val="Normal"/>
        <w:jc w:val="both"/>
        <w:rPr/>
      </w:pPr>
      <w:r>
        <w:rPr/>
      </w:r>
    </w:p>
    <w:p>
      <w:pPr>
        <w:pStyle w:val="Normal"/>
        <w:jc w:val="both"/>
        <w:rPr/>
      </w:pPr>
      <w:r>
        <w:rPr/>
        <w:t>Further detailed information is available in the accompanying document, “</w:t>
      </w:r>
      <w:r>
        <w:rPr>
          <w:b/>
          <w:i/>
          <w:smallCaps/>
        </w:rPr>
        <w:t>Information for EnronOnline</w:t>
      </w:r>
      <w:r>
        <w:rPr/>
        <w:t xml:space="preserve">”. </w:t>
      </w:r>
    </w:p>
    <w:p>
      <w:pPr>
        <w:pStyle w:val="Normal"/>
        <w:jc w:val="both"/>
        <w:rPr/>
      </w:pPr>
      <w:r>
        <w:rPr/>
      </w:r>
    </w:p>
    <w:p>
      <w:pPr>
        <w:pStyle w:val="Heading2"/>
        <w:ind w:hanging="0" w:start="0"/>
        <w:jc w:val="both"/>
        <w:rPr/>
      </w:pPr>
      <w:r>
        <w:rPr/>
      </w:r>
      <w:r>
        <w:br w:type="page"/>
      </w:r>
    </w:p>
    <w:p>
      <w:pPr>
        <w:pStyle w:val="Heading9"/>
        <w:ind w:start="0" w:end="0"/>
        <w:rPr>
          <w:i/>
          <w:i/>
          <w:smallCaps/>
          <w:u w:val="single"/>
        </w:rPr>
      </w:pPr>
      <w:r>
        <w:rPr>
          <w:i/>
          <w:smallCaps/>
          <w:u w:val="single"/>
        </w:rPr>
        <w:t>EOL Data Redistribution Term Sheet</w:t>
      </w:r>
    </w:p>
    <w:p>
      <w:pPr>
        <w:pStyle w:val="Normal"/>
        <w:jc w:val="both"/>
        <w:rPr>
          <w:i/>
          <w:i/>
          <w:smallCaps/>
          <w:u w:val="single"/>
        </w:rPr>
      </w:pPr>
      <w:r>
        <w:rPr>
          <w:i/>
          <w:smallCaps/>
          <w:u w:val="single"/>
        </w:rPr>
      </w:r>
    </w:p>
    <w:p>
      <w:pPr>
        <w:pStyle w:val="Normal"/>
        <w:ind w:end="-720"/>
        <w:jc w:val="both"/>
        <w:rPr>
          <w:b/>
          <w:bCs/>
          <w:i/>
          <w:i/>
          <w:iCs/>
          <w:u w:val="single"/>
        </w:rPr>
      </w:pPr>
      <w:r>
        <w:rPr>
          <w:b/>
          <w:bCs/>
          <w:i/>
          <w:iCs/>
          <w:u w:val="single"/>
        </w:rPr>
        <w:t xml:space="preserve">Redistribution </w:t>
      </w:r>
    </w:p>
    <w:p>
      <w:pPr>
        <w:pStyle w:val="Normal"/>
        <w:jc w:val="both"/>
        <w:rPr>
          <w:b/>
          <w:bCs/>
          <w:i/>
          <w:i/>
          <w:iCs/>
          <w:u w:val="single"/>
        </w:rPr>
      </w:pPr>
      <w:r>
        <w:rPr>
          <w:b/>
          <w:bCs/>
          <w:i/>
          <w:iCs/>
          <w:u w:val="single"/>
        </w:rPr>
      </w:r>
    </w:p>
    <w:p>
      <w:pPr>
        <w:pStyle w:val="Normal"/>
        <w:jc w:val="both"/>
        <w:rPr/>
      </w:pPr>
      <w:r>
        <w:rPr/>
        <w:t>GVSI will act as a redistributor of data provided by EOL.</w:t>
      </w:r>
    </w:p>
    <w:p>
      <w:pPr>
        <w:pStyle w:val="Normal"/>
        <w:jc w:val="both"/>
        <w:rPr/>
      </w:pPr>
      <w:r>
        <w:rPr/>
      </w:r>
    </w:p>
    <w:p>
      <w:pPr>
        <w:pStyle w:val="Normal"/>
        <w:jc w:val="both"/>
        <w:rPr>
          <w:b/>
          <w:bCs/>
          <w:i/>
          <w:i/>
          <w:iCs/>
          <w:u w:val="single"/>
        </w:rPr>
      </w:pPr>
      <w:r>
        <w:rPr>
          <w:b/>
          <w:bCs/>
          <w:i/>
          <w:iCs/>
          <w:u w:val="single"/>
        </w:rPr>
        <w:t>Data Delivery</w:t>
      </w:r>
    </w:p>
    <w:p>
      <w:pPr>
        <w:pStyle w:val="Normal"/>
        <w:jc w:val="both"/>
        <w:rPr>
          <w:b/>
          <w:bCs/>
          <w:i/>
          <w:i/>
          <w:iCs/>
          <w:u w:val="single"/>
        </w:rPr>
      </w:pPr>
      <w:r>
        <w:rPr>
          <w:b/>
          <w:bCs/>
          <w:i/>
          <w:iCs/>
          <w:u w:val="single"/>
        </w:rPr>
      </w:r>
    </w:p>
    <w:p>
      <w:pPr>
        <w:pStyle w:val="Normal"/>
        <w:jc w:val="both"/>
        <w:rPr/>
      </w:pPr>
      <w:r>
        <w:rPr/>
        <w:t xml:space="preserve">GVSI is responsible for the delivery of data to customers, including the delivery technology and infrastructure. </w:t>
      </w:r>
    </w:p>
    <w:p>
      <w:pPr>
        <w:pStyle w:val="Normal"/>
        <w:jc w:val="both"/>
        <w:rPr/>
      </w:pPr>
      <w:r>
        <w:rPr/>
      </w:r>
    </w:p>
    <w:p>
      <w:pPr>
        <w:pStyle w:val="Normal"/>
        <w:jc w:val="both"/>
        <w:rPr>
          <w:b/>
          <w:bCs/>
          <w:i/>
          <w:i/>
          <w:iCs/>
          <w:u w:val="single"/>
        </w:rPr>
      </w:pPr>
      <w:r>
        <w:rPr>
          <w:b/>
          <w:bCs/>
          <w:i/>
          <w:iCs/>
          <w:u w:val="single"/>
        </w:rPr>
        <w:t>Exclusivity</w:t>
      </w:r>
    </w:p>
    <w:p>
      <w:pPr>
        <w:pStyle w:val="Normal"/>
        <w:jc w:val="both"/>
        <w:rPr>
          <w:b/>
          <w:bCs/>
          <w:i/>
          <w:i/>
          <w:iCs/>
          <w:u w:val="single"/>
        </w:rPr>
      </w:pPr>
      <w:r>
        <w:rPr>
          <w:b/>
          <w:bCs/>
          <w:i/>
          <w:iCs/>
          <w:u w:val="single"/>
        </w:rPr>
      </w:r>
    </w:p>
    <w:p>
      <w:pPr>
        <w:pStyle w:val="Normal"/>
        <w:jc w:val="both"/>
        <w:rPr/>
      </w:pPr>
      <w:r>
        <w:rPr/>
        <w:t>GVSI shall receive the exclusive rights to redistribute the EOL data.  GVSI will act as redistribution agent for EOL to provide data to third party redistributors (Reuters, Bloomberg, etc.).</w:t>
      </w:r>
    </w:p>
    <w:p>
      <w:pPr>
        <w:pStyle w:val="Normal"/>
        <w:jc w:val="both"/>
        <w:rPr/>
      </w:pPr>
      <w:r>
        <w:rPr/>
      </w:r>
    </w:p>
    <w:p>
      <w:pPr>
        <w:pStyle w:val="Normal"/>
        <w:jc w:val="both"/>
        <w:rPr/>
      </w:pPr>
      <w:r>
        <w:rPr>
          <w:b/>
          <w:i/>
          <w:iCs/>
          <w:u w:val="single"/>
        </w:rPr>
        <w:t>Data Provision</w:t>
      </w:r>
      <w:r>
        <w:rPr>
          <w:i/>
          <w:iCs/>
        </w:rPr>
        <w:tab/>
      </w:r>
    </w:p>
    <w:p>
      <w:pPr>
        <w:pStyle w:val="Normal"/>
        <w:jc w:val="both"/>
        <w:rPr>
          <w:i/>
          <w:i/>
          <w:iCs/>
        </w:rPr>
      </w:pPr>
      <w:r>
        <w:rPr>
          <w:i/>
          <w:iCs/>
        </w:rPr>
      </w:r>
    </w:p>
    <w:p>
      <w:pPr>
        <w:pStyle w:val="Normal"/>
        <w:jc w:val="both"/>
        <w:rPr/>
      </w:pPr>
      <w:r>
        <w:rPr/>
        <w:t>EOL is responsible for the delivery of data to GVSI via electronic transmission.  EOL is also responsible for the correction of problems in data received by GVSI.</w:t>
      </w:r>
    </w:p>
    <w:p>
      <w:pPr>
        <w:pStyle w:val="Normal"/>
        <w:jc w:val="both"/>
        <w:rPr/>
      </w:pPr>
      <w:r>
        <w:rPr/>
      </w:r>
    </w:p>
    <w:p>
      <w:pPr>
        <w:pStyle w:val="Normal"/>
        <w:jc w:val="both"/>
        <w:rPr>
          <w:b/>
          <w:bCs/>
          <w:i/>
          <w:i/>
          <w:iCs/>
          <w:u w:val="single"/>
        </w:rPr>
      </w:pPr>
      <w:r>
        <w:rPr>
          <w:b/>
          <w:bCs/>
          <w:i/>
          <w:iCs/>
          <w:u w:val="single"/>
        </w:rPr>
        <w:t>Initial Investment</w:t>
      </w:r>
    </w:p>
    <w:p>
      <w:pPr>
        <w:pStyle w:val="Normal"/>
        <w:jc w:val="both"/>
        <w:rPr>
          <w:b/>
          <w:bCs/>
          <w:i/>
          <w:i/>
          <w:iCs/>
          <w:u w:val="single"/>
        </w:rPr>
      </w:pPr>
      <w:r>
        <w:rPr>
          <w:b/>
          <w:bCs/>
          <w:i/>
          <w:iCs/>
          <w:u w:val="single"/>
        </w:rPr>
      </w:r>
    </w:p>
    <w:p>
      <w:pPr>
        <w:pStyle w:val="Normal"/>
        <w:jc w:val="both"/>
        <w:rPr/>
      </w:pPr>
      <w:r>
        <w:rPr/>
        <w:t>EOL will share the cost of the initial implementation of the interface technology with GVSI.  The cost will be determined in a detailed specification following the discovery phase.</w:t>
      </w:r>
    </w:p>
    <w:p>
      <w:pPr>
        <w:pStyle w:val="Normal"/>
        <w:jc w:val="both"/>
        <w:rPr/>
      </w:pPr>
      <w:r>
        <w:rPr/>
      </w:r>
    </w:p>
    <w:p>
      <w:pPr>
        <w:pStyle w:val="Normal"/>
        <w:jc w:val="both"/>
        <w:rPr>
          <w:i/>
          <w:i/>
          <w:iCs/>
        </w:rPr>
      </w:pPr>
      <w:r>
        <w:rPr>
          <w:b/>
          <w:i/>
          <w:iCs/>
          <w:u w:val="single"/>
        </w:rPr>
        <w:t xml:space="preserve">Revenue Share </w:t>
      </w:r>
    </w:p>
    <w:p>
      <w:pPr>
        <w:pStyle w:val="Normal"/>
        <w:jc w:val="both"/>
        <w:rPr>
          <w:b/>
          <w:i/>
          <w:i/>
          <w:iCs/>
          <w:u w:val="single"/>
        </w:rPr>
      </w:pPr>
      <w:r>
        <w:rPr>
          <w:b/>
          <w:i/>
          <w:iCs/>
          <w:u w:val="single"/>
        </w:rPr>
      </w:r>
    </w:p>
    <w:p>
      <w:pPr>
        <w:pStyle w:val="Normal"/>
        <w:jc w:val="both"/>
        <w:rPr>
          <w:bCs/>
        </w:rPr>
      </w:pPr>
      <w:r>
        <w:rPr>
          <w:bCs/>
        </w:rPr>
        <w:t>EOL will receive 50% of revenue collected from subscribers, payable by the end of the month following collection.</w:t>
      </w:r>
    </w:p>
    <w:p>
      <w:pPr>
        <w:pStyle w:val="Normal"/>
        <w:jc w:val="both"/>
        <w:rPr>
          <w:bCs/>
        </w:rPr>
      </w:pPr>
      <w:r>
        <w:rPr>
          <w:bCs/>
        </w:rPr>
      </w:r>
    </w:p>
    <w:p>
      <w:pPr>
        <w:pStyle w:val="Normal"/>
        <w:jc w:val="both"/>
        <w:rPr>
          <w:b/>
          <w:bCs/>
          <w:i/>
          <w:i/>
          <w:iCs/>
          <w:u w:val="single"/>
        </w:rPr>
      </w:pPr>
      <w:r>
        <w:rPr>
          <w:b/>
          <w:bCs/>
          <w:i/>
          <w:iCs/>
          <w:u w:val="single"/>
        </w:rPr>
        <w:t>Subscriber Administration</w:t>
      </w:r>
    </w:p>
    <w:p>
      <w:pPr>
        <w:pStyle w:val="Normal"/>
        <w:jc w:val="both"/>
        <w:rPr>
          <w:b/>
          <w:bCs/>
          <w:i/>
          <w:i/>
          <w:iCs/>
          <w:u w:val="single"/>
        </w:rPr>
      </w:pPr>
      <w:r>
        <w:rPr>
          <w:b/>
          <w:bCs/>
          <w:i/>
          <w:iCs/>
          <w:u w:val="single"/>
        </w:rPr>
      </w:r>
    </w:p>
    <w:p>
      <w:pPr>
        <w:pStyle w:val="Normal"/>
        <w:jc w:val="both"/>
        <w:rPr/>
      </w:pPr>
      <w:r>
        <w:rPr/>
        <w:t>GVSI will be responsible for all customer-facing relations including obtaining a licensing agreement, subscriber administration and support, permissioning, invoicing and collections.</w:t>
      </w:r>
    </w:p>
    <w:p>
      <w:pPr>
        <w:pStyle w:val="Normal"/>
        <w:jc w:val="both"/>
        <w:rPr/>
      </w:pPr>
      <w:r>
        <w:rPr/>
        <w:t xml:space="preserve"> </w:t>
      </w:r>
    </w:p>
    <w:p>
      <w:pPr>
        <w:pStyle w:val="Normal"/>
        <w:jc w:val="both"/>
        <w:rPr>
          <w:b/>
          <w:bCs/>
          <w:i/>
          <w:i/>
          <w:iCs/>
          <w:u w:val="single"/>
        </w:rPr>
      </w:pPr>
      <w:r>
        <w:rPr>
          <w:b/>
          <w:bCs/>
          <w:i/>
          <w:iCs/>
          <w:u w:val="single"/>
        </w:rPr>
        <w:t>Reporting</w:t>
      </w:r>
    </w:p>
    <w:p>
      <w:pPr>
        <w:pStyle w:val="Normal"/>
        <w:jc w:val="both"/>
        <w:rPr>
          <w:b/>
          <w:bCs/>
          <w:i/>
          <w:i/>
          <w:iCs/>
          <w:u w:val="single"/>
        </w:rPr>
      </w:pPr>
      <w:r>
        <w:rPr>
          <w:b/>
          <w:bCs/>
          <w:i/>
          <w:iCs/>
          <w:u w:val="single"/>
        </w:rPr>
      </w:r>
    </w:p>
    <w:p>
      <w:pPr>
        <w:pStyle w:val="Normal"/>
        <w:jc w:val="both"/>
        <w:rPr/>
      </w:pPr>
      <w:r>
        <w:rPr/>
        <w:t>GVSI will report new, current and terminated subscribers on a monthly basis concurrently with payment.</w:t>
      </w:r>
    </w:p>
    <w:p>
      <w:pPr>
        <w:pStyle w:val="Normal"/>
        <w:jc w:val="both"/>
        <w:rPr/>
      </w:pPr>
      <w:r>
        <w:rPr/>
      </w:r>
    </w:p>
    <w:p>
      <w:pPr>
        <w:pStyle w:val="Normal"/>
        <w:jc w:val="both"/>
        <w:rPr>
          <w:b/>
          <w:i/>
          <w:i/>
          <w:iCs/>
        </w:rPr>
      </w:pPr>
      <w:r>
        <w:rPr>
          <w:b/>
          <w:i/>
          <w:iCs/>
          <w:u w:val="single"/>
        </w:rPr>
        <w:t>Term and Termination</w:t>
      </w:r>
    </w:p>
    <w:p>
      <w:pPr>
        <w:pStyle w:val="Normal"/>
        <w:jc w:val="both"/>
        <w:rPr>
          <w:b/>
          <w:i/>
          <w:i/>
          <w:iCs/>
        </w:rPr>
      </w:pPr>
      <w:r>
        <w:rPr>
          <w:b/>
          <w:i/>
          <w:iCs/>
        </w:rPr>
      </w:r>
    </w:p>
    <w:p>
      <w:pPr>
        <w:pStyle w:val="Normal"/>
        <w:jc w:val="both"/>
        <w:rPr/>
      </w:pPr>
      <w:r>
        <w:rPr/>
        <w:t>GVSI and EOL will commence an initial term of 3 years upon commercial go live with automatic annual renewals, with 12 months prior written notice for termination.</w:t>
      </w:r>
      <w:r>
        <w:br w:type="page"/>
      </w:r>
    </w:p>
    <w:p>
      <w:pPr>
        <w:pStyle w:val="Normal"/>
        <w:rPr>
          <w:sz w:val="22"/>
        </w:rPr>
      </w:pPr>
      <w:r>
        <w:rPr>
          <w:sz w:val="22"/>
        </w:rPr>
      </w:r>
    </w:p>
    <w:p>
      <w:pPr>
        <w:pStyle w:val="Heading6"/>
        <w:ind w:start="0" w:end="0"/>
        <w:rPr>
          <w:rFonts w:ascii="Times New Roman" w:hAnsi="Times New Roman" w:cs="Times New Roman"/>
          <w:smallCaps/>
          <w:sz w:val="24"/>
          <w:u w:val="single"/>
        </w:rPr>
      </w:pPr>
      <w:r>
        <w:rPr>
          <w:rFonts w:cs="Times New Roman" w:ascii="Times New Roman" w:hAnsi="Times New Roman"/>
          <w:smallCaps/>
          <w:sz w:val="24"/>
          <w:u w:val="single"/>
        </w:rPr>
        <w:t>Suggested Annual Subscriber User Pricing</w:t>
      </w:r>
    </w:p>
    <w:p>
      <w:pPr>
        <w:pStyle w:val="Normal"/>
        <w:rPr>
          <w:rFonts w:ascii="Times New Roman" w:hAnsi="Times New Roman" w:cs="Times New Roman"/>
          <w:b/>
          <w:bCs/>
          <w:smallCaps/>
          <w:sz w:val="22"/>
          <w:u w:val="single"/>
        </w:rPr>
      </w:pPr>
      <w:r>
        <w:rPr>
          <w:rFonts w:cs="Times New Roman"/>
          <w:b/>
          <w:bCs/>
          <w:smallCaps/>
          <w:sz w:val="22"/>
          <w:u w:val="single"/>
        </w:rPr>
      </w:r>
    </w:p>
    <w:p>
      <w:pPr>
        <w:pStyle w:val="Normal"/>
        <w:jc w:val="both"/>
        <w:rPr>
          <w:b/>
          <w:bCs/>
          <w:sz w:val="22"/>
          <w:u w:val="single"/>
        </w:rPr>
      </w:pPr>
      <w:r>
        <w:rPr>
          <w:b/>
          <w:bCs/>
          <w:sz w:val="22"/>
          <w:u w:val="single"/>
        </w:rPr>
      </w:r>
    </w:p>
    <w:p>
      <w:pPr>
        <w:pStyle w:val="Normal"/>
        <w:jc w:val="both"/>
        <w:rPr/>
      </w:pPr>
      <w:r>
        <w:rPr/>
        <w:t>GVSI has broad experience working with energy market information and has performed analysis on the pricing of spot market price information on some of the markets in which EOL participates. The following table shows a range of the costs associated with subscribing to price services that cover these markets along with a measure of the greatest depth available in each market. Typically, a provider that covers greater market depth will charge higher fees per data point.</w:t>
      </w:r>
    </w:p>
    <w:p>
      <w:pPr>
        <w:pStyle w:val="Normal"/>
        <w:jc w:val="both"/>
        <w:rPr>
          <w:b/>
          <w:bCs/>
          <w:sz w:val="22"/>
          <w:u w:val="single"/>
        </w:rPr>
      </w:pPr>
      <w:r>
        <w:rPr>
          <w:b/>
          <w:bCs/>
          <w:sz w:val="22"/>
          <w:u w:val="single"/>
        </w:rPr>
      </w:r>
    </w:p>
    <w:p>
      <w:pPr>
        <w:pStyle w:val="Normal"/>
        <w:rPr/>
      </w:pPr>
      <w:r>
        <w:rPr/>
        <w:t xml:space="preserve">    </w:t>
      </w:r>
      <w:r>
        <w:rPr/>
        <w:tab/>
      </w:r>
    </w:p>
    <w:tbl>
      <w:tblPr>
        <w:tblW w:w="7115" w:type="dxa"/>
        <w:jc w:val="start"/>
        <w:tblInd w:w="-10" w:type="dxa"/>
        <w:tblLayout w:type="fixed"/>
        <w:tblCellMar>
          <w:top w:w="0" w:type="dxa"/>
          <w:start w:w="0" w:type="dxa"/>
          <w:bottom w:w="0" w:type="dxa"/>
          <w:end w:w="0" w:type="dxa"/>
        </w:tblCellMar>
      </w:tblPr>
      <w:tblGrid>
        <w:gridCol w:w="2780"/>
        <w:gridCol w:w="1480"/>
        <w:gridCol w:w="885"/>
        <w:gridCol w:w="798"/>
        <w:gridCol w:w="1172"/>
      </w:tblGrid>
      <w:tr>
        <w:trPr>
          <w:trHeight w:val="510" w:hRule="atLeast"/>
        </w:trPr>
        <w:tc>
          <w:tcPr>
            <w:tcW w:w="2780" w:type="dxa"/>
            <w:tcBorders>
              <w:top w:val="single" w:sz="4" w:space="0" w:color="000000"/>
              <w:start w:val="single" w:sz="4" w:space="0" w:color="000000"/>
              <w:end w:val="single" w:sz="4" w:space="0" w:color="000000"/>
            </w:tcBorders>
            <w:vAlign w:val="center"/>
          </w:tcPr>
          <w:p>
            <w:pPr>
              <w:pStyle w:val="Normal"/>
              <w:jc w:val="center"/>
              <w:rPr>
                <w:b/>
                <w:bCs/>
                <w:sz w:val="22"/>
              </w:rPr>
            </w:pPr>
            <w:r>
              <w:rPr>
                <w:b/>
                <w:bCs/>
                <w:sz w:val="22"/>
              </w:rPr>
              <w:t>Markets</w:t>
            </w:r>
          </w:p>
        </w:tc>
        <w:tc>
          <w:tcPr>
            <w:tcW w:w="1480" w:type="dxa"/>
            <w:tcBorders>
              <w:top w:val="single" w:sz="4" w:space="0" w:color="000000"/>
              <w:end w:val="single" w:sz="4" w:space="0" w:color="000000"/>
            </w:tcBorders>
            <w:vAlign w:val="bottom"/>
          </w:tcPr>
          <w:p>
            <w:pPr>
              <w:pStyle w:val="Normal"/>
              <w:jc w:val="center"/>
              <w:rPr>
                <w:b/>
                <w:bCs/>
                <w:sz w:val="22"/>
              </w:rPr>
            </w:pPr>
            <w:r>
              <w:rPr>
                <w:b/>
                <w:bCs/>
                <w:sz w:val="22"/>
              </w:rPr>
              <w:t>Highest # Data Points</w:t>
            </w:r>
          </w:p>
        </w:tc>
        <w:tc>
          <w:tcPr>
            <w:tcW w:w="2855" w:type="dxa"/>
            <w:gridSpan w:val="3"/>
            <w:tcBorders>
              <w:top w:val="single" w:sz="4" w:space="0" w:color="000000"/>
              <w:bottom w:val="single" w:sz="4" w:space="0" w:color="000000"/>
              <w:end w:val="single" w:sz="4" w:space="0" w:color="000000"/>
            </w:tcBorders>
            <w:vAlign w:val="center"/>
          </w:tcPr>
          <w:p>
            <w:pPr>
              <w:pStyle w:val="Normal"/>
              <w:jc w:val="center"/>
              <w:rPr>
                <w:b/>
                <w:bCs/>
                <w:sz w:val="22"/>
              </w:rPr>
            </w:pPr>
            <w:r>
              <w:rPr>
                <w:b/>
                <w:bCs/>
                <w:sz w:val="22"/>
              </w:rPr>
              <w:t>Price Range</w:t>
            </w:r>
          </w:p>
        </w:tc>
      </w:tr>
      <w:tr>
        <w:trPr>
          <w:trHeight w:val="255" w:hRule="atLeast"/>
        </w:trPr>
        <w:tc>
          <w:tcPr>
            <w:tcW w:w="2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2"/>
              </w:rPr>
            </w:pPr>
            <w:r>
              <w:rPr>
                <w:b/>
                <w:bCs/>
                <w:sz w:val="22"/>
              </w:rPr>
              <w:t> </w:t>
            </w:r>
          </w:p>
        </w:tc>
        <w:tc>
          <w:tcPr>
            <w:tcW w:w="1480" w:type="dxa"/>
            <w:tcBorders>
              <w:top w:val="single" w:sz="4" w:space="0" w:color="000000"/>
              <w:bottom w:val="single" w:sz="4" w:space="0" w:color="000000"/>
              <w:end w:val="single" w:sz="4" w:space="0" w:color="000000"/>
            </w:tcBorders>
            <w:vAlign w:val="bottom"/>
          </w:tcPr>
          <w:p>
            <w:pPr>
              <w:pStyle w:val="Normal"/>
              <w:snapToGrid w:val="false"/>
              <w:jc w:val="center"/>
              <w:rPr>
                <w:b/>
                <w:bCs/>
                <w:sz w:val="22"/>
              </w:rPr>
            </w:pPr>
            <w:r>
              <w:rPr>
                <w:b/>
                <w:bCs/>
                <w:sz w:val="22"/>
              </w:rPr>
            </w:r>
          </w:p>
        </w:tc>
        <w:tc>
          <w:tcPr>
            <w:tcW w:w="885" w:type="dxa"/>
            <w:tcBorders>
              <w:bottom w:val="single" w:sz="4" w:space="0" w:color="000000"/>
              <w:end w:val="single" w:sz="4" w:space="0" w:color="000000"/>
            </w:tcBorders>
            <w:vAlign w:val="bottom"/>
          </w:tcPr>
          <w:p>
            <w:pPr>
              <w:pStyle w:val="Normal"/>
              <w:jc w:val="center"/>
              <w:rPr>
                <w:b/>
                <w:bCs/>
                <w:sz w:val="22"/>
              </w:rPr>
            </w:pPr>
            <w:r>
              <w:rPr>
                <w:b/>
                <w:bCs/>
                <w:sz w:val="22"/>
              </w:rPr>
              <w:t>High</w:t>
            </w:r>
          </w:p>
        </w:tc>
        <w:tc>
          <w:tcPr>
            <w:tcW w:w="798" w:type="dxa"/>
            <w:tcBorders>
              <w:bottom w:val="single" w:sz="4" w:space="0" w:color="000000"/>
              <w:end w:val="single" w:sz="4" w:space="0" w:color="000000"/>
            </w:tcBorders>
            <w:vAlign w:val="bottom"/>
          </w:tcPr>
          <w:p>
            <w:pPr>
              <w:pStyle w:val="Normal"/>
              <w:jc w:val="center"/>
              <w:rPr>
                <w:b/>
                <w:bCs/>
                <w:sz w:val="22"/>
              </w:rPr>
            </w:pPr>
            <w:r>
              <w:rPr>
                <w:b/>
                <w:bCs/>
                <w:sz w:val="22"/>
              </w:rPr>
              <w:t>Low</w:t>
            </w:r>
          </w:p>
        </w:tc>
        <w:tc>
          <w:tcPr>
            <w:tcW w:w="1172" w:type="dxa"/>
            <w:tcBorders>
              <w:bottom w:val="single" w:sz="4" w:space="0" w:color="000000"/>
              <w:end w:val="single" w:sz="4" w:space="0" w:color="000000"/>
            </w:tcBorders>
            <w:vAlign w:val="bottom"/>
          </w:tcPr>
          <w:p>
            <w:pPr>
              <w:pStyle w:val="Normal"/>
              <w:jc w:val="center"/>
              <w:rPr>
                <w:b/>
                <w:bCs/>
                <w:sz w:val="22"/>
              </w:rPr>
            </w:pPr>
            <w:r>
              <w:rPr>
                <w:b/>
                <w:bCs/>
                <w:sz w:val="22"/>
              </w:rPr>
              <w:t>Average</w:t>
            </w:r>
          </w:p>
        </w:tc>
      </w:tr>
      <w:tr>
        <w:trPr>
          <w:trHeight w:val="270" w:hRule="atLeast"/>
        </w:trPr>
        <w:tc>
          <w:tcPr>
            <w:tcW w:w="2780" w:type="dxa"/>
            <w:tcBorders>
              <w:start w:val="single" w:sz="4" w:space="0" w:color="000000"/>
              <w:end w:val="single" w:sz="4" w:space="0" w:color="000000"/>
            </w:tcBorders>
            <w:shd w:fill="C0C0C0" w:val="clear"/>
          </w:tcPr>
          <w:p>
            <w:pPr>
              <w:pStyle w:val="Normal"/>
              <w:rPr>
                <w:b/>
                <w:bCs/>
                <w:sz w:val="22"/>
              </w:rPr>
            </w:pPr>
            <w:r>
              <w:rPr>
                <w:b/>
                <w:bCs/>
                <w:sz w:val="22"/>
              </w:rPr>
              <w:t>Natural Gas</w:t>
            </w:r>
          </w:p>
        </w:tc>
        <w:tc>
          <w:tcPr>
            <w:tcW w:w="1480" w:type="dxa"/>
            <w:tcBorders>
              <w:end w:val="single" w:sz="4" w:space="0" w:color="000000"/>
            </w:tcBorders>
            <w:shd w:fill="C0C0C0" w:val="clear"/>
            <w:vAlign w:val="bottom"/>
          </w:tcPr>
          <w:p>
            <w:pPr>
              <w:pStyle w:val="Normal"/>
              <w:snapToGrid w:val="false"/>
              <w:jc w:val="center"/>
              <w:rPr>
                <w:b/>
                <w:bCs/>
                <w:sz w:val="22"/>
              </w:rPr>
            </w:pPr>
            <w:r>
              <w:rPr>
                <w:b/>
                <w:bCs/>
                <w:sz w:val="22"/>
              </w:rPr>
            </w:r>
          </w:p>
        </w:tc>
        <w:tc>
          <w:tcPr>
            <w:tcW w:w="885" w:type="dxa"/>
            <w:tcBorders>
              <w:end w:val="single" w:sz="4" w:space="0" w:color="000000"/>
            </w:tcBorders>
            <w:shd w:fill="C0C0C0" w:val="clear"/>
            <w:vAlign w:val="bottom"/>
          </w:tcPr>
          <w:p>
            <w:pPr>
              <w:pStyle w:val="Normal"/>
              <w:rPr>
                <w:sz w:val="22"/>
              </w:rPr>
            </w:pPr>
            <w:r>
              <w:rPr>
                <w:sz w:val="22"/>
              </w:rPr>
              <w:t> </w:t>
            </w:r>
          </w:p>
        </w:tc>
        <w:tc>
          <w:tcPr>
            <w:tcW w:w="798" w:type="dxa"/>
            <w:tcBorders>
              <w:end w:val="single" w:sz="4" w:space="0" w:color="000000"/>
            </w:tcBorders>
            <w:shd w:fill="C0C0C0" w:val="clear"/>
            <w:vAlign w:val="bottom"/>
          </w:tcPr>
          <w:p>
            <w:pPr>
              <w:pStyle w:val="Normal"/>
              <w:rPr>
                <w:sz w:val="22"/>
              </w:rPr>
            </w:pPr>
            <w:r>
              <w:rPr>
                <w:sz w:val="22"/>
              </w:rPr>
              <w:t> </w:t>
            </w:r>
          </w:p>
        </w:tc>
        <w:tc>
          <w:tcPr>
            <w:tcW w:w="1172" w:type="dxa"/>
            <w:tcBorders>
              <w:end w:val="single" w:sz="4" w:space="0" w:color="000000"/>
            </w:tcBorders>
            <w:shd w:fill="C0C0C0" w:val="clear"/>
            <w:vAlign w:val="bottom"/>
          </w:tcPr>
          <w:p>
            <w:pPr>
              <w:pStyle w:val="Normal"/>
              <w:rPr>
                <w:sz w:val="22"/>
              </w:rPr>
            </w:pPr>
            <w:r>
              <w:rPr>
                <w:sz w:val="22"/>
              </w:rPr>
              <w:t> </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North American</w:t>
            </w:r>
          </w:p>
        </w:tc>
        <w:tc>
          <w:tcPr>
            <w:tcW w:w="1480" w:type="dxa"/>
            <w:tcBorders>
              <w:end w:val="single" w:sz="4" w:space="0" w:color="000000"/>
            </w:tcBorders>
            <w:vAlign w:val="bottom"/>
          </w:tcPr>
          <w:p>
            <w:pPr>
              <w:pStyle w:val="Normal"/>
              <w:jc w:val="center"/>
              <w:rPr>
                <w:sz w:val="22"/>
              </w:rPr>
            </w:pPr>
            <w:r>
              <w:rPr>
                <w:sz w:val="22"/>
              </w:rPr>
              <w:t>250</w:t>
            </w:r>
          </w:p>
        </w:tc>
        <w:tc>
          <w:tcPr>
            <w:tcW w:w="885" w:type="dxa"/>
            <w:tcBorders>
              <w:end w:val="single" w:sz="4" w:space="0" w:color="000000"/>
            </w:tcBorders>
            <w:vAlign w:val="bottom"/>
          </w:tcPr>
          <w:p>
            <w:pPr>
              <w:pStyle w:val="Normal"/>
              <w:jc w:val="center"/>
              <w:rPr>
                <w:sz w:val="22"/>
              </w:rPr>
            </w:pPr>
            <w:r>
              <w:rPr>
                <w:sz w:val="22"/>
              </w:rPr>
              <w:t>$10</w:t>
            </w:r>
          </w:p>
        </w:tc>
        <w:tc>
          <w:tcPr>
            <w:tcW w:w="798" w:type="dxa"/>
            <w:tcBorders>
              <w:end w:val="single" w:sz="4" w:space="0" w:color="000000"/>
            </w:tcBorders>
            <w:vAlign w:val="bottom"/>
          </w:tcPr>
          <w:p>
            <w:pPr>
              <w:pStyle w:val="Normal"/>
              <w:jc w:val="center"/>
              <w:rPr>
                <w:sz w:val="22"/>
              </w:rPr>
            </w:pPr>
            <w:r>
              <w:rPr>
                <w:sz w:val="22"/>
              </w:rPr>
              <w:t>$10</w:t>
            </w:r>
          </w:p>
        </w:tc>
        <w:tc>
          <w:tcPr>
            <w:tcW w:w="1172" w:type="dxa"/>
            <w:tcBorders>
              <w:end w:val="single" w:sz="4" w:space="0" w:color="000000"/>
            </w:tcBorders>
            <w:vAlign w:val="bottom"/>
          </w:tcPr>
          <w:p>
            <w:pPr>
              <w:pStyle w:val="Normal"/>
              <w:jc w:val="center"/>
              <w:rPr>
                <w:sz w:val="22"/>
              </w:rPr>
            </w:pPr>
            <w:r>
              <w:rPr>
                <w:sz w:val="22"/>
              </w:rPr>
              <w:t>$10</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European</w:t>
            </w:r>
          </w:p>
        </w:tc>
        <w:tc>
          <w:tcPr>
            <w:tcW w:w="1480" w:type="dxa"/>
            <w:tcBorders>
              <w:end w:val="single" w:sz="4" w:space="0" w:color="000000"/>
            </w:tcBorders>
            <w:vAlign w:val="bottom"/>
          </w:tcPr>
          <w:p>
            <w:pPr>
              <w:pStyle w:val="Normal"/>
              <w:jc w:val="center"/>
              <w:rPr>
                <w:sz w:val="22"/>
              </w:rPr>
            </w:pPr>
            <w:r>
              <w:rPr>
                <w:sz w:val="22"/>
              </w:rPr>
              <w:t>184</w:t>
            </w:r>
          </w:p>
        </w:tc>
        <w:tc>
          <w:tcPr>
            <w:tcW w:w="885" w:type="dxa"/>
            <w:tcBorders>
              <w:end w:val="single" w:sz="4" w:space="0" w:color="000000"/>
            </w:tcBorders>
            <w:vAlign w:val="bottom"/>
          </w:tcPr>
          <w:p>
            <w:pPr>
              <w:pStyle w:val="Normal"/>
              <w:jc w:val="center"/>
              <w:rPr>
                <w:sz w:val="22"/>
              </w:rPr>
            </w:pPr>
            <w:r>
              <w:rPr>
                <w:sz w:val="22"/>
              </w:rPr>
              <w:t>$72</w:t>
            </w:r>
          </w:p>
        </w:tc>
        <w:tc>
          <w:tcPr>
            <w:tcW w:w="798" w:type="dxa"/>
            <w:tcBorders>
              <w:end w:val="single" w:sz="4" w:space="0" w:color="000000"/>
            </w:tcBorders>
            <w:vAlign w:val="bottom"/>
          </w:tcPr>
          <w:p>
            <w:pPr>
              <w:pStyle w:val="Normal"/>
              <w:jc w:val="center"/>
              <w:rPr>
                <w:sz w:val="22"/>
              </w:rPr>
            </w:pPr>
            <w:r>
              <w:rPr>
                <w:sz w:val="22"/>
              </w:rPr>
              <w:t>$8</w:t>
            </w:r>
          </w:p>
        </w:tc>
        <w:tc>
          <w:tcPr>
            <w:tcW w:w="1172" w:type="dxa"/>
            <w:tcBorders>
              <w:end w:val="single" w:sz="4" w:space="0" w:color="000000"/>
            </w:tcBorders>
            <w:vAlign w:val="bottom"/>
          </w:tcPr>
          <w:p>
            <w:pPr>
              <w:pStyle w:val="Normal"/>
              <w:jc w:val="center"/>
              <w:rPr>
                <w:sz w:val="22"/>
              </w:rPr>
            </w:pPr>
            <w:r>
              <w:rPr>
                <w:sz w:val="22"/>
              </w:rPr>
              <w:t>$40</w:t>
            </w:r>
          </w:p>
        </w:tc>
      </w:tr>
      <w:tr>
        <w:trPr>
          <w:trHeight w:val="270" w:hRule="atLeast"/>
        </w:trPr>
        <w:tc>
          <w:tcPr>
            <w:tcW w:w="2780" w:type="dxa"/>
            <w:tcBorders>
              <w:start w:val="single" w:sz="4" w:space="0" w:color="000000"/>
              <w:end w:val="single" w:sz="4" w:space="0" w:color="000000"/>
            </w:tcBorders>
            <w:shd w:fill="C0C0C0" w:val="clear"/>
          </w:tcPr>
          <w:p>
            <w:pPr>
              <w:pStyle w:val="Normal"/>
              <w:rPr>
                <w:b/>
                <w:bCs/>
                <w:sz w:val="22"/>
              </w:rPr>
            </w:pPr>
            <w:r>
              <w:rPr>
                <w:b/>
                <w:bCs/>
                <w:sz w:val="22"/>
              </w:rPr>
              <w:t>Power</w:t>
            </w:r>
          </w:p>
        </w:tc>
        <w:tc>
          <w:tcPr>
            <w:tcW w:w="1480" w:type="dxa"/>
            <w:tcBorders>
              <w:end w:val="single" w:sz="4" w:space="0" w:color="000000"/>
            </w:tcBorders>
            <w:shd w:fill="C0C0C0" w:val="clear"/>
            <w:vAlign w:val="bottom"/>
          </w:tcPr>
          <w:p>
            <w:pPr>
              <w:pStyle w:val="Normal"/>
              <w:snapToGrid w:val="false"/>
              <w:jc w:val="center"/>
              <w:rPr>
                <w:b/>
                <w:bCs/>
                <w:sz w:val="22"/>
              </w:rPr>
            </w:pPr>
            <w:r>
              <w:rPr>
                <w:b/>
                <w:bCs/>
                <w:sz w:val="22"/>
              </w:rPr>
            </w:r>
          </w:p>
        </w:tc>
        <w:tc>
          <w:tcPr>
            <w:tcW w:w="885" w:type="dxa"/>
            <w:tcBorders>
              <w:end w:val="single" w:sz="4" w:space="0" w:color="000000"/>
            </w:tcBorders>
            <w:shd w:fill="C0C0C0" w:val="clear"/>
            <w:vAlign w:val="bottom"/>
          </w:tcPr>
          <w:p>
            <w:pPr>
              <w:pStyle w:val="Normal"/>
              <w:snapToGrid w:val="false"/>
              <w:jc w:val="center"/>
              <w:rPr>
                <w:sz w:val="22"/>
              </w:rPr>
            </w:pPr>
            <w:r>
              <w:rPr>
                <w:sz w:val="22"/>
              </w:rPr>
            </w:r>
          </w:p>
        </w:tc>
        <w:tc>
          <w:tcPr>
            <w:tcW w:w="798" w:type="dxa"/>
            <w:tcBorders>
              <w:end w:val="single" w:sz="4" w:space="0" w:color="000000"/>
            </w:tcBorders>
            <w:shd w:fill="C0C0C0" w:val="clear"/>
            <w:vAlign w:val="bottom"/>
          </w:tcPr>
          <w:p>
            <w:pPr>
              <w:pStyle w:val="Normal"/>
              <w:snapToGrid w:val="false"/>
              <w:jc w:val="center"/>
              <w:rPr>
                <w:sz w:val="22"/>
              </w:rPr>
            </w:pPr>
            <w:r>
              <w:rPr>
                <w:sz w:val="22"/>
              </w:rPr>
            </w:r>
          </w:p>
        </w:tc>
        <w:tc>
          <w:tcPr>
            <w:tcW w:w="1172" w:type="dxa"/>
            <w:tcBorders>
              <w:end w:val="single" w:sz="4" w:space="0" w:color="000000"/>
            </w:tcBorders>
            <w:shd w:fill="C0C0C0" w:val="clear"/>
            <w:vAlign w:val="bottom"/>
          </w:tcPr>
          <w:p>
            <w:pPr>
              <w:pStyle w:val="Normal"/>
              <w:snapToGrid w:val="false"/>
              <w:jc w:val="center"/>
              <w:rPr>
                <w:sz w:val="22"/>
              </w:rPr>
            </w:pPr>
            <w:r>
              <w:rPr>
                <w:sz w:val="22"/>
              </w:rPr>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North American</w:t>
            </w:r>
          </w:p>
        </w:tc>
        <w:tc>
          <w:tcPr>
            <w:tcW w:w="1480" w:type="dxa"/>
            <w:tcBorders>
              <w:end w:val="single" w:sz="4" w:space="0" w:color="000000"/>
            </w:tcBorders>
            <w:vAlign w:val="bottom"/>
          </w:tcPr>
          <w:p>
            <w:pPr>
              <w:pStyle w:val="Normal"/>
              <w:jc w:val="center"/>
              <w:rPr>
                <w:sz w:val="22"/>
              </w:rPr>
            </w:pPr>
            <w:r>
              <w:rPr>
                <w:sz w:val="22"/>
              </w:rPr>
              <w:t>170</w:t>
            </w:r>
          </w:p>
        </w:tc>
        <w:tc>
          <w:tcPr>
            <w:tcW w:w="885" w:type="dxa"/>
            <w:tcBorders>
              <w:end w:val="single" w:sz="4" w:space="0" w:color="000000"/>
            </w:tcBorders>
            <w:vAlign w:val="bottom"/>
          </w:tcPr>
          <w:p>
            <w:pPr>
              <w:pStyle w:val="Normal"/>
              <w:jc w:val="center"/>
              <w:rPr>
                <w:sz w:val="22"/>
              </w:rPr>
            </w:pPr>
            <w:r>
              <w:rPr>
                <w:sz w:val="22"/>
              </w:rPr>
              <w:t>$53</w:t>
            </w:r>
          </w:p>
        </w:tc>
        <w:tc>
          <w:tcPr>
            <w:tcW w:w="798" w:type="dxa"/>
            <w:tcBorders>
              <w:end w:val="single" w:sz="4" w:space="0" w:color="000000"/>
            </w:tcBorders>
            <w:vAlign w:val="bottom"/>
          </w:tcPr>
          <w:p>
            <w:pPr>
              <w:pStyle w:val="Normal"/>
              <w:jc w:val="center"/>
              <w:rPr>
                <w:sz w:val="22"/>
              </w:rPr>
            </w:pPr>
            <w:r>
              <w:rPr>
                <w:sz w:val="22"/>
              </w:rPr>
              <w:t>$13</w:t>
            </w:r>
          </w:p>
        </w:tc>
        <w:tc>
          <w:tcPr>
            <w:tcW w:w="1172" w:type="dxa"/>
            <w:tcBorders>
              <w:end w:val="single" w:sz="4" w:space="0" w:color="000000"/>
            </w:tcBorders>
            <w:vAlign w:val="bottom"/>
          </w:tcPr>
          <w:p>
            <w:pPr>
              <w:pStyle w:val="Normal"/>
              <w:jc w:val="center"/>
              <w:rPr>
                <w:sz w:val="22"/>
              </w:rPr>
            </w:pPr>
            <w:r>
              <w:rPr>
                <w:sz w:val="22"/>
              </w:rPr>
              <w:t>$33</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European</w:t>
            </w:r>
          </w:p>
        </w:tc>
        <w:tc>
          <w:tcPr>
            <w:tcW w:w="1480" w:type="dxa"/>
            <w:tcBorders>
              <w:end w:val="single" w:sz="4" w:space="0" w:color="000000"/>
            </w:tcBorders>
            <w:vAlign w:val="bottom"/>
          </w:tcPr>
          <w:p>
            <w:pPr>
              <w:pStyle w:val="Normal"/>
              <w:jc w:val="center"/>
              <w:rPr>
                <w:sz w:val="22"/>
              </w:rPr>
            </w:pPr>
            <w:r>
              <w:rPr>
                <w:sz w:val="22"/>
              </w:rPr>
              <w:t>1100</w:t>
            </w:r>
          </w:p>
        </w:tc>
        <w:tc>
          <w:tcPr>
            <w:tcW w:w="885" w:type="dxa"/>
            <w:tcBorders>
              <w:end w:val="single" w:sz="4" w:space="0" w:color="000000"/>
            </w:tcBorders>
            <w:vAlign w:val="bottom"/>
          </w:tcPr>
          <w:p>
            <w:pPr>
              <w:pStyle w:val="Normal"/>
              <w:snapToGrid w:val="false"/>
              <w:jc w:val="center"/>
              <w:rPr>
                <w:sz w:val="22"/>
              </w:rPr>
            </w:pPr>
            <w:r>
              <w:rPr>
                <w:sz w:val="22"/>
              </w:rPr>
            </w:r>
          </w:p>
        </w:tc>
        <w:tc>
          <w:tcPr>
            <w:tcW w:w="798" w:type="dxa"/>
            <w:tcBorders>
              <w:end w:val="single" w:sz="4" w:space="0" w:color="000000"/>
            </w:tcBorders>
            <w:vAlign w:val="bottom"/>
          </w:tcPr>
          <w:p>
            <w:pPr>
              <w:pStyle w:val="Normal"/>
              <w:jc w:val="center"/>
              <w:rPr>
                <w:sz w:val="22"/>
              </w:rPr>
            </w:pPr>
            <w:r>
              <w:rPr>
                <w:sz w:val="22"/>
              </w:rPr>
              <w:t>$5</w:t>
            </w:r>
          </w:p>
        </w:tc>
        <w:tc>
          <w:tcPr>
            <w:tcW w:w="1172" w:type="dxa"/>
            <w:tcBorders>
              <w:end w:val="single" w:sz="4" w:space="0" w:color="000000"/>
            </w:tcBorders>
            <w:vAlign w:val="bottom"/>
          </w:tcPr>
          <w:p>
            <w:pPr>
              <w:pStyle w:val="Normal"/>
              <w:snapToGrid w:val="false"/>
              <w:jc w:val="center"/>
              <w:rPr>
                <w:sz w:val="22"/>
              </w:rPr>
            </w:pPr>
            <w:r>
              <w:rPr>
                <w:sz w:val="22"/>
              </w:rPr>
            </w:r>
          </w:p>
        </w:tc>
      </w:tr>
      <w:tr>
        <w:trPr>
          <w:trHeight w:val="270" w:hRule="atLeast"/>
        </w:trPr>
        <w:tc>
          <w:tcPr>
            <w:tcW w:w="2780" w:type="dxa"/>
            <w:tcBorders>
              <w:start w:val="single" w:sz="4" w:space="0" w:color="000000"/>
              <w:end w:val="single" w:sz="4" w:space="0" w:color="000000"/>
            </w:tcBorders>
            <w:shd w:fill="C0C0C0" w:val="clear"/>
          </w:tcPr>
          <w:p>
            <w:pPr>
              <w:pStyle w:val="Normal"/>
              <w:rPr>
                <w:b/>
                <w:bCs/>
                <w:sz w:val="22"/>
              </w:rPr>
            </w:pPr>
            <w:r>
              <w:rPr>
                <w:b/>
                <w:bCs/>
                <w:sz w:val="22"/>
              </w:rPr>
              <w:t>Crude</w:t>
            </w:r>
          </w:p>
        </w:tc>
        <w:tc>
          <w:tcPr>
            <w:tcW w:w="1480" w:type="dxa"/>
            <w:tcBorders>
              <w:end w:val="single" w:sz="4" w:space="0" w:color="000000"/>
            </w:tcBorders>
            <w:shd w:fill="C0C0C0" w:val="clear"/>
            <w:vAlign w:val="bottom"/>
          </w:tcPr>
          <w:p>
            <w:pPr>
              <w:pStyle w:val="Normal"/>
              <w:snapToGrid w:val="false"/>
              <w:jc w:val="center"/>
              <w:rPr>
                <w:b/>
                <w:bCs/>
                <w:sz w:val="22"/>
              </w:rPr>
            </w:pPr>
            <w:r>
              <w:rPr>
                <w:b/>
                <w:bCs/>
                <w:sz w:val="22"/>
              </w:rPr>
            </w:r>
          </w:p>
        </w:tc>
        <w:tc>
          <w:tcPr>
            <w:tcW w:w="885" w:type="dxa"/>
            <w:tcBorders>
              <w:end w:val="single" w:sz="4" w:space="0" w:color="000000"/>
            </w:tcBorders>
            <w:shd w:fill="C0C0C0" w:val="clear"/>
            <w:vAlign w:val="bottom"/>
          </w:tcPr>
          <w:p>
            <w:pPr>
              <w:pStyle w:val="Normal"/>
              <w:snapToGrid w:val="false"/>
              <w:jc w:val="center"/>
              <w:rPr>
                <w:sz w:val="22"/>
              </w:rPr>
            </w:pPr>
            <w:r>
              <w:rPr>
                <w:sz w:val="22"/>
              </w:rPr>
            </w:r>
          </w:p>
        </w:tc>
        <w:tc>
          <w:tcPr>
            <w:tcW w:w="798" w:type="dxa"/>
            <w:tcBorders>
              <w:end w:val="single" w:sz="4" w:space="0" w:color="000000"/>
            </w:tcBorders>
            <w:shd w:fill="C0C0C0" w:val="clear"/>
            <w:vAlign w:val="bottom"/>
          </w:tcPr>
          <w:p>
            <w:pPr>
              <w:pStyle w:val="Normal"/>
              <w:snapToGrid w:val="false"/>
              <w:jc w:val="center"/>
              <w:rPr>
                <w:sz w:val="22"/>
              </w:rPr>
            </w:pPr>
            <w:r>
              <w:rPr>
                <w:sz w:val="22"/>
              </w:rPr>
            </w:r>
          </w:p>
        </w:tc>
        <w:tc>
          <w:tcPr>
            <w:tcW w:w="1172" w:type="dxa"/>
            <w:tcBorders>
              <w:end w:val="single" w:sz="4" w:space="0" w:color="000000"/>
            </w:tcBorders>
            <w:shd w:fill="C0C0C0" w:val="clear"/>
            <w:vAlign w:val="bottom"/>
          </w:tcPr>
          <w:p>
            <w:pPr>
              <w:pStyle w:val="Normal"/>
              <w:snapToGrid w:val="false"/>
              <w:jc w:val="center"/>
              <w:rPr>
                <w:sz w:val="22"/>
              </w:rPr>
            </w:pPr>
            <w:r>
              <w:rPr>
                <w:sz w:val="22"/>
              </w:rPr>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North American</w:t>
            </w:r>
          </w:p>
        </w:tc>
        <w:tc>
          <w:tcPr>
            <w:tcW w:w="1480" w:type="dxa"/>
            <w:tcBorders>
              <w:end w:val="single" w:sz="4" w:space="0" w:color="000000"/>
            </w:tcBorders>
            <w:vAlign w:val="bottom"/>
          </w:tcPr>
          <w:p>
            <w:pPr>
              <w:pStyle w:val="Normal"/>
              <w:jc w:val="center"/>
              <w:rPr>
                <w:sz w:val="22"/>
              </w:rPr>
            </w:pPr>
            <w:r>
              <w:rPr>
                <w:sz w:val="22"/>
              </w:rPr>
              <w:t>83</w:t>
            </w:r>
          </w:p>
        </w:tc>
        <w:tc>
          <w:tcPr>
            <w:tcW w:w="885" w:type="dxa"/>
            <w:tcBorders>
              <w:end w:val="single" w:sz="4" w:space="0" w:color="000000"/>
            </w:tcBorders>
            <w:vAlign w:val="bottom"/>
          </w:tcPr>
          <w:p>
            <w:pPr>
              <w:pStyle w:val="Normal"/>
              <w:jc w:val="center"/>
              <w:rPr>
                <w:sz w:val="22"/>
              </w:rPr>
            </w:pPr>
            <w:r>
              <w:rPr>
                <w:sz w:val="22"/>
              </w:rPr>
              <w:t>$76</w:t>
            </w:r>
          </w:p>
        </w:tc>
        <w:tc>
          <w:tcPr>
            <w:tcW w:w="798" w:type="dxa"/>
            <w:tcBorders>
              <w:end w:val="single" w:sz="4" w:space="0" w:color="000000"/>
            </w:tcBorders>
            <w:vAlign w:val="bottom"/>
          </w:tcPr>
          <w:p>
            <w:pPr>
              <w:pStyle w:val="Normal"/>
              <w:jc w:val="center"/>
              <w:rPr>
                <w:sz w:val="22"/>
              </w:rPr>
            </w:pPr>
            <w:r>
              <w:rPr>
                <w:sz w:val="22"/>
              </w:rPr>
              <w:t>$39</w:t>
            </w:r>
          </w:p>
        </w:tc>
        <w:tc>
          <w:tcPr>
            <w:tcW w:w="1172" w:type="dxa"/>
            <w:tcBorders>
              <w:end w:val="single" w:sz="4" w:space="0" w:color="000000"/>
            </w:tcBorders>
            <w:vAlign w:val="bottom"/>
          </w:tcPr>
          <w:p>
            <w:pPr>
              <w:pStyle w:val="Normal"/>
              <w:jc w:val="center"/>
              <w:rPr>
                <w:sz w:val="22"/>
              </w:rPr>
            </w:pPr>
            <w:r>
              <w:rPr>
                <w:sz w:val="22"/>
              </w:rPr>
              <w:t>$58</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European</w:t>
            </w:r>
          </w:p>
        </w:tc>
        <w:tc>
          <w:tcPr>
            <w:tcW w:w="1480" w:type="dxa"/>
            <w:tcBorders>
              <w:end w:val="single" w:sz="4" w:space="0" w:color="000000"/>
            </w:tcBorders>
            <w:vAlign w:val="bottom"/>
          </w:tcPr>
          <w:p>
            <w:pPr>
              <w:pStyle w:val="Normal"/>
              <w:jc w:val="center"/>
              <w:rPr>
                <w:sz w:val="22"/>
              </w:rPr>
            </w:pPr>
            <w:r>
              <w:rPr>
                <w:sz w:val="22"/>
              </w:rPr>
              <w:t>62</w:t>
            </w:r>
          </w:p>
        </w:tc>
        <w:tc>
          <w:tcPr>
            <w:tcW w:w="885" w:type="dxa"/>
            <w:tcBorders>
              <w:end w:val="single" w:sz="4" w:space="0" w:color="000000"/>
            </w:tcBorders>
            <w:vAlign w:val="bottom"/>
          </w:tcPr>
          <w:p>
            <w:pPr>
              <w:pStyle w:val="Normal"/>
              <w:jc w:val="center"/>
              <w:rPr>
                <w:sz w:val="22"/>
              </w:rPr>
            </w:pPr>
            <w:r>
              <w:rPr>
                <w:sz w:val="22"/>
              </w:rPr>
              <w:t>$39</w:t>
            </w:r>
          </w:p>
        </w:tc>
        <w:tc>
          <w:tcPr>
            <w:tcW w:w="798" w:type="dxa"/>
            <w:tcBorders>
              <w:end w:val="single" w:sz="4" w:space="0" w:color="000000"/>
            </w:tcBorders>
            <w:vAlign w:val="bottom"/>
          </w:tcPr>
          <w:p>
            <w:pPr>
              <w:pStyle w:val="Normal"/>
              <w:jc w:val="center"/>
              <w:rPr>
                <w:sz w:val="22"/>
              </w:rPr>
            </w:pPr>
            <w:r>
              <w:rPr>
                <w:sz w:val="22"/>
              </w:rPr>
              <w:t>$30</w:t>
            </w:r>
          </w:p>
        </w:tc>
        <w:tc>
          <w:tcPr>
            <w:tcW w:w="1172" w:type="dxa"/>
            <w:tcBorders>
              <w:end w:val="single" w:sz="4" w:space="0" w:color="000000"/>
            </w:tcBorders>
            <w:vAlign w:val="bottom"/>
          </w:tcPr>
          <w:p>
            <w:pPr>
              <w:pStyle w:val="Normal"/>
              <w:jc w:val="center"/>
              <w:rPr>
                <w:sz w:val="22"/>
              </w:rPr>
            </w:pPr>
            <w:r>
              <w:rPr>
                <w:sz w:val="22"/>
              </w:rPr>
              <w:t>$35</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Asian</w:t>
            </w:r>
          </w:p>
        </w:tc>
        <w:tc>
          <w:tcPr>
            <w:tcW w:w="1480" w:type="dxa"/>
            <w:tcBorders>
              <w:end w:val="single" w:sz="4" w:space="0" w:color="000000"/>
            </w:tcBorders>
            <w:vAlign w:val="bottom"/>
          </w:tcPr>
          <w:p>
            <w:pPr>
              <w:pStyle w:val="Normal"/>
              <w:jc w:val="center"/>
              <w:rPr>
                <w:sz w:val="22"/>
              </w:rPr>
            </w:pPr>
            <w:r>
              <w:rPr>
                <w:sz w:val="22"/>
              </w:rPr>
              <w:t>158</w:t>
            </w:r>
          </w:p>
        </w:tc>
        <w:tc>
          <w:tcPr>
            <w:tcW w:w="885" w:type="dxa"/>
            <w:tcBorders>
              <w:end w:val="single" w:sz="4" w:space="0" w:color="000000"/>
            </w:tcBorders>
            <w:vAlign w:val="bottom"/>
          </w:tcPr>
          <w:p>
            <w:pPr>
              <w:pStyle w:val="Normal"/>
              <w:jc w:val="center"/>
              <w:rPr>
                <w:sz w:val="22"/>
              </w:rPr>
            </w:pPr>
            <w:r>
              <w:rPr>
                <w:sz w:val="22"/>
              </w:rPr>
              <w:t>$166</w:t>
            </w:r>
          </w:p>
        </w:tc>
        <w:tc>
          <w:tcPr>
            <w:tcW w:w="798" w:type="dxa"/>
            <w:tcBorders>
              <w:end w:val="single" w:sz="4" w:space="0" w:color="000000"/>
            </w:tcBorders>
            <w:vAlign w:val="bottom"/>
          </w:tcPr>
          <w:p>
            <w:pPr>
              <w:pStyle w:val="Normal"/>
              <w:jc w:val="center"/>
              <w:rPr>
                <w:sz w:val="22"/>
              </w:rPr>
            </w:pPr>
            <w:r>
              <w:rPr>
                <w:sz w:val="22"/>
              </w:rPr>
              <w:t>$13</w:t>
            </w:r>
          </w:p>
        </w:tc>
        <w:tc>
          <w:tcPr>
            <w:tcW w:w="1172" w:type="dxa"/>
            <w:tcBorders>
              <w:end w:val="single" w:sz="4" w:space="0" w:color="000000"/>
            </w:tcBorders>
            <w:vAlign w:val="bottom"/>
          </w:tcPr>
          <w:p>
            <w:pPr>
              <w:pStyle w:val="Normal"/>
              <w:jc w:val="center"/>
              <w:rPr>
                <w:sz w:val="22"/>
              </w:rPr>
            </w:pPr>
            <w:r>
              <w:rPr>
                <w:sz w:val="22"/>
              </w:rPr>
              <w:t>$90</w:t>
            </w:r>
          </w:p>
        </w:tc>
      </w:tr>
      <w:tr>
        <w:trPr>
          <w:trHeight w:val="270" w:hRule="atLeast"/>
        </w:trPr>
        <w:tc>
          <w:tcPr>
            <w:tcW w:w="2780" w:type="dxa"/>
            <w:tcBorders>
              <w:start w:val="single" w:sz="4" w:space="0" w:color="000000"/>
              <w:end w:val="single" w:sz="4" w:space="0" w:color="000000"/>
            </w:tcBorders>
            <w:shd w:fill="C0C0C0" w:val="clear"/>
          </w:tcPr>
          <w:p>
            <w:pPr>
              <w:pStyle w:val="Normal"/>
              <w:rPr>
                <w:b/>
                <w:bCs/>
                <w:sz w:val="22"/>
              </w:rPr>
            </w:pPr>
            <w:r>
              <w:rPr>
                <w:b/>
                <w:bCs/>
                <w:sz w:val="22"/>
              </w:rPr>
              <w:t>Products</w:t>
            </w:r>
          </w:p>
        </w:tc>
        <w:tc>
          <w:tcPr>
            <w:tcW w:w="1480" w:type="dxa"/>
            <w:tcBorders>
              <w:end w:val="single" w:sz="4" w:space="0" w:color="000000"/>
            </w:tcBorders>
            <w:shd w:fill="C0C0C0" w:val="clear"/>
            <w:vAlign w:val="bottom"/>
          </w:tcPr>
          <w:p>
            <w:pPr>
              <w:pStyle w:val="Normal"/>
              <w:snapToGrid w:val="false"/>
              <w:jc w:val="center"/>
              <w:rPr>
                <w:b/>
                <w:bCs/>
                <w:sz w:val="22"/>
              </w:rPr>
            </w:pPr>
            <w:r>
              <w:rPr>
                <w:b/>
                <w:bCs/>
                <w:sz w:val="22"/>
              </w:rPr>
            </w:r>
          </w:p>
        </w:tc>
        <w:tc>
          <w:tcPr>
            <w:tcW w:w="885" w:type="dxa"/>
            <w:tcBorders>
              <w:end w:val="single" w:sz="4" w:space="0" w:color="000000"/>
            </w:tcBorders>
            <w:shd w:fill="C0C0C0" w:val="clear"/>
            <w:vAlign w:val="bottom"/>
          </w:tcPr>
          <w:p>
            <w:pPr>
              <w:pStyle w:val="Normal"/>
              <w:snapToGrid w:val="false"/>
              <w:jc w:val="center"/>
              <w:rPr>
                <w:sz w:val="22"/>
              </w:rPr>
            </w:pPr>
            <w:r>
              <w:rPr>
                <w:sz w:val="22"/>
              </w:rPr>
            </w:r>
          </w:p>
        </w:tc>
        <w:tc>
          <w:tcPr>
            <w:tcW w:w="798" w:type="dxa"/>
            <w:tcBorders>
              <w:end w:val="single" w:sz="4" w:space="0" w:color="000000"/>
            </w:tcBorders>
            <w:shd w:fill="C0C0C0" w:val="clear"/>
            <w:vAlign w:val="bottom"/>
          </w:tcPr>
          <w:p>
            <w:pPr>
              <w:pStyle w:val="Normal"/>
              <w:snapToGrid w:val="false"/>
              <w:jc w:val="center"/>
              <w:rPr>
                <w:sz w:val="22"/>
              </w:rPr>
            </w:pPr>
            <w:r>
              <w:rPr>
                <w:sz w:val="22"/>
              </w:rPr>
            </w:r>
          </w:p>
        </w:tc>
        <w:tc>
          <w:tcPr>
            <w:tcW w:w="1172" w:type="dxa"/>
            <w:tcBorders>
              <w:end w:val="single" w:sz="4" w:space="0" w:color="000000"/>
            </w:tcBorders>
            <w:shd w:fill="C0C0C0" w:val="clear"/>
            <w:vAlign w:val="bottom"/>
          </w:tcPr>
          <w:p>
            <w:pPr>
              <w:pStyle w:val="Normal"/>
              <w:snapToGrid w:val="false"/>
              <w:jc w:val="center"/>
              <w:rPr>
                <w:sz w:val="22"/>
              </w:rPr>
            </w:pPr>
            <w:r>
              <w:rPr>
                <w:sz w:val="22"/>
              </w:rPr>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North American</w:t>
            </w:r>
          </w:p>
        </w:tc>
        <w:tc>
          <w:tcPr>
            <w:tcW w:w="1480" w:type="dxa"/>
            <w:tcBorders>
              <w:end w:val="single" w:sz="4" w:space="0" w:color="000000"/>
            </w:tcBorders>
            <w:vAlign w:val="bottom"/>
          </w:tcPr>
          <w:p>
            <w:pPr>
              <w:pStyle w:val="Normal"/>
              <w:jc w:val="center"/>
              <w:rPr>
                <w:sz w:val="22"/>
              </w:rPr>
            </w:pPr>
            <w:r>
              <w:rPr>
                <w:sz w:val="22"/>
              </w:rPr>
              <w:t>251</w:t>
            </w:r>
          </w:p>
        </w:tc>
        <w:tc>
          <w:tcPr>
            <w:tcW w:w="885" w:type="dxa"/>
            <w:tcBorders>
              <w:end w:val="single" w:sz="4" w:space="0" w:color="000000"/>
            </w:tcBorders>
            <w:vAlign w:val="bottom"/>
          </w:tcPr>
          <w:p>
            <w:pPr>
              <w:pStyle w:val="Normal"/>
              <w:jc w:val="center"/>
              <w:rPr>
                <w:sz w:val="22"/>
              </w:rPr>
            </w:pPr>
            <w:r>
              <w:rPr>
                <w:sz w:val="22"/>
              </w:rPr>
              <w:t>$65</w:t>
            </w:r>
          </w:p>
        </w:tc>
        <w:tc>
          <w:tcPr>
            <w:tcW w:w="798" w:type="dxa"/>
            <w:tcBorders>
              <w:end w:val="single" w:sz="4" w:space="0" w:color="000000"/>
            </w:tcBorders>
            <w:vAlign w:val="bottom"/>
          </w:tcPr>
          <w:p>
            <w:pPr>
              <w:pStyle w:val="Normal"/>
              <w:jc w:val="center"/>
              <w:rPr>
                <w:sz w:val="22"/>
              </w:rPr>
            </w:pPr>
            <w:r>
              <w:rPr>
                <w:sz w:val="22"/>
              </w:rPr>
              <w:t>$30</w:t>
            </w:r>
          </w:p>
        </w:tc>
        <w:tc>
          <w:tcPr>
            <w:tcW w:w="1172" w:type="dxa"/>
            <w:tcBorders>
              <w:end w:val="single" w:sz="4" w:space="0" w:color="000000"/>
            </w:tcBorders>
            <w:vAlign w:val="bottom"/>
          </w:tcPr>
          <w:p>
            <w:pPr>
              <w:pStyle w:val="Normal"/>
              <w:jc w:val="center"/>
              <w:rPr>
                <w:sz w:val="22"/>
              </w:rPr>
            </w:pPr>
            <w:r>
              <w:rPr>
                <w:sz w:val="22"/>
              </w:rPr>
              <w:t>$48</w:t>
            </w:r>
          </w:p>
        </w:tc>
      </w:tr>
      <w:tr>
        <w:trPr>
          <w:trHeight w:val="270" w:hRule="atLeast"/>
        </w:trPr>
        <w:tc>
          <w:tcPr>
            <w:tcW w:w="2780" w:type="dxa"/>
            <w:tcBorders>
              <w:start w:val="single" w:sz="4" w:space="0" w:color="000000"/>
              <w:end w:val="single" w:sz="4" w:space="0" w:color="000000"/>
            </w:tcBorders>
          </w:tcPr>
          <w:p>
            <w:pPr>
              <w:pStyle w:val="Normal"/>
              <w:ind w:start="720" w:end="0"/>
              <w:rPr>
                <w:sz w:val="22"/>
              </w:rPr>
            </w:pPr>
            <w:r>
              <w:rPr>
                <w:sz w:val="22"/>
              </w:rPr>
              <w:t>European</w:t>
            </w:r>
          </w:p>
        </w:tc>
        <w:tc>
          <w:tcPr>
            <w:tcW w:w="1480" w:type="dxa"/>
            <w:tcBorders>
              <w:end w:val="single" w:sz="4" w:space="0" w:color="000000"/>
            </w:tcBorders>
            <w:vAlign w:val="bottom"/>
          </w:tcPr>
          <w:p>
            <w:pPr>
              <w:pStyle w:val="Normal"/>
              <w:jc w:val="center"/>
              <w:rPr>
                <w:sz w:val="22"/>
              </w:rPr>
            </w:pPr>
            <w:r>
              <w:rPr>
                <w:sz w:val="22"/>
              </w:rPr>
              <w:t>103</w:t>
            </w:r>
          </w:p>
        </w:tc>
        <w:tc>
          <w:tcPr>
            <w:tcW w:w="885" w:type="dxa"/>
            <w:tcBorders>
              <w:end w:val="single" w:sz="4" w:space="0" w:color="000000"/>
            </w:tcBorders>
            <w:vAlign w:val="bottom"/>
          </w:tcPr>
          <w:p>
            <w:pPr>
              <w:pStyle w:val="Normal"/>
              <w:jc w:val="center"/>
              <w:rPr>
                <w:sz w:val="22"/>
              </w:rPr>
            </w:pPr>
            <w:r>
              <w:rPr>
                <w:sz w:val="22"/>
              </w:rPr>
              <w:t>$76</w:t>
            </w:r>
          </w:p>
        </w:tc>
        <w:tc>
          <w:tcPr>
            <w:tcW w:w="798" w:type="dxa"/>
            <w:tcBorders>
              <w:end w:val="single" w:sz="4" w:space="0" w:color="000000"/>
            </w:tcBorders>
            <w:vAlign w:val="bottom"/>
          </w:tcPr>
          <w:p>
            <w:pPr>
              <w:pStyle w:val="Normal"/>
              <w:jc w:val="center"/>
              <w:rPr>
                <w:sz w:val="22"/>
              </w:rPr>
            </w:pPr>
            <w:r>
              <w:rPr>
                <w:sz w:val="22"/>
              </w:rPr>
              <w:t>$58</w:t>
            </w:r>
          </w:p>
        </w:tc>
        <w:tc>
          <w:tcPr>
            <w:tcW w:w="1172" w:type="dxa"/>
            <w:tcBorders>
              <w:end w:val="single" w:sz="4" w:space="0" w:color="000000"/>
            </w:tcBorders>
            <w:vAlign w:val="bottom"/>
          </w:tcPr>
          <w:p>
            <w:pPr>
              <w:pStyle w:val="Normal"/>
              <w:jc w:val="center"/>
              <w:rPr>
                <w:sz w:val="22"/>
              </w:rPr>
            </w:pPr>
            <w:r>
              <w:rPr>
                <w:sz w:val="22"/>
              </w:rPr>
              <w:t>$67</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Asian</w:t>
            </w:r>
          </w:p>
        </w:tc>
        <w:tc>
          <w:tcPr>
            <w:tcW w:w="1480" w:type="dxa"/>
            <w:tcBorders>
              <w:end w:val="single" w:sz="4" w:space="0" w:color="000000"/>
            </w:tcBorders>
            <w:vAlign w:val="bottom"/>
          </w:tcPr>
          <w:p>
            <w:pPr>
              <w:pStyle w:val="Normal"/>
              <w:jc w:val="center"/>
              <w:rPr>
                <w:sz w:val="22"/>
              </w:rPr>
            </w:pPr>
            <w:r>
              <w:rPr>
                <w:sz w:val="22"/>
              </w:rPr>
              <w:t>158</w:t>
            </w:r>
          </w:p>
        </w:tc>
        <w:tc>
          <w:tcPr>
            <w:tcW w:w="885" w:type="dxa"/>
            <w:tcBorders>
              <w:end w:val="single" w:sz="4" w:space="0" w:color="000000"/>
            </w:tcBorders>
            <w:vAlign w:val="bottom"/>
          </w:tcPr>
          <w:p>
            <w:pPr>
              <w:pStyle w:val="Normal"/>
              <w:jc w:val="center"/>
              <w:rPr>
                <w:sz w:val="22"/>
              </w:rPr>
            </w:pPr>
            <w:r>
              <w:rPr>
                <w:sz w:val="22"/>
              </w:rPr>
              <w:t>$166</w:t>
            </w:r>
          </w:p>
        </w:tc>
        <w:tc>
          <w:tcPr>
            <w:tcW w:w="798" w:type="dxa"/>
            <w:tcBorders>
              <w:end w:val="single" w:sz="4" w:space="0" w:color="000000"/>
            </w:tcBorders>
            <w:vAlign w:val="bottom"/>
          </w:tcPr>
          <w:p>
            <w:pPr>
              <w:pStyle w:val="Normal"/>
              <w:jc w:val="center"/>
              <w:rPr>
                <w:sz w:val="22"/>
              </w:rPr>
            </w:pPr>
            <w:r>
              <w:rPr>
                <w:sz w:val="22"/>
              </w:rPr>
              <w:t>$14</w:t>
            </w:r>
          </w:p>
        </w:tc>
        <w:tc>
          <w:tcPr>
            <w:tcW w:w="1172" w:type="dxa"/>
            <w:tcBorders>
              <w:end w:val="single" w:sz="4" w:space="0" w:color="000000"/>
            </w:tcBorders>
            <w:vAlign w:val="bottom"/>
          </w:tcPr>
          <w:p>
            <w:pPr>
              <w:pStyle w:val="Normal"/>
              <w:jc w:val="center"/>
              <w:rPr>
                <w:sz w:val="22"/>
              </w:rPr>
            </w:pPr>
            <w:r>
              <w:rPr>
                <w:sz w:val="22"/>
              </w:rPr>
              <w:t>$90</w:t>
            </w:r>
          </w:p>
        </w:tc>
      </w:tr>
      <w:tr>
        <w:trPr>
          <w:trHeight w:val="270" w:hRule="atLeast"/>
        </w:trPr>
        <w:tc>
          <w:tcPr>
            <w:tcW w:w="2780" w:type="dxa"/>
            <w:tcBorders>
              <w:start w:val="single" w:sz="4" w:space="0" w:color="000000"/>
              <w:end w:val="single" w:sz="4" w:space="0" w:color="000000"/>
            </w:tcBorders>
            <w:shd w:fill="C0C0C0" w:val="clear"/>
          </w:tcPr>
          <w:p>
            <w:pPr>
              <w:pStyle w:val="Normal"/>
              <w:rPr>
                <w:b/>
                <w:bCs/>
                <w:sz w:val="22"/>
              </w:rPr>
            </w:pPr>
            <w:r>
              <w:rPr>
                <w:b/>
                <w:bCs/>
                <w:sz w:val="22"/>
              </w:rPr>
              <w:t>NGL’s. Petchems &amp; Plastics</w:t>
            </w:r>
          </w:p>
        </w:tc>
        <w:tc>
          <w:tcPr>
            <w:tcW w:w="1480" w:type="dxa"/>
            <w:tcBorders>
              <w:end w:val="single" w:sz="4" w:space="0" w:color="000000"/>
            </w:tcBorders>
            <w:shd w:fill="C0C0C0" w:val="clear"/>
            <w:vAlign w:val="bottom"/>
          </w:tcPr>
          <w:p>
            <w:pPr>
              <w:pStyle w:val="Normal"/>
              <w:snapToGrid w:val="false"/>
              <w:jc w:val="center"/>
              <w:rPr>
                <w:b/>
                <w:bCs/>
                <w:sz w:val="22"/>
              </w:rPr>
            </w:pPr>
            <w:r>
              <w:rPr>
                <w:b/>
                <w:bCs/>
                <w:sz w:val="22"/>
              </w:rPr>
            </w:r>
          </w:p>
        </w:tc>
        <w:tc>
          <w:tcPr>
            <w:tcW w:w="885" w:type="dxa"/>
            <w:tcBorders>
              <w:end w:val="single" w:sz="4" w:space="0" w:color="000000"/>
            </w:tcBorders>
            <w:shd w:fill="C0C0C0" w:val="clear"/>
            <w:vAlign w:val="bottom"/>
          </w:tcPr>
          <w:p>
            <w:pPr>
              <w:pStyle w:val="Normal"/>
              <w:snapToGrid w:val="false"/>
              <w:jc w:val="center"/>
              <w:rPr>
                <w:sz w:val="22"/>
              </w:rPr>
            </w:pPr>
            <w:r>
              <w:rPr>
                <w:sz w:val="22"/>
              </w:rPr>
            </w:r>
          </w:p>
        </w:tc>
        <w:tc>
          <w:tcPr>
            <w:tcW w:w="798" w:type="dxa"/>
            <w:tcBorders>
              <w:end w:val="single" w:sz="4" w:space="0" w:color="000000"/>
            </w:tcBorders>
            <w:shd w:fill="C0C0C0" w:val="clear"/>
            <w:vAlign w:val="bottom"/>
          </w:tcPr>
          <w:p>
            <w:pPr>
              <w:pStyle w:val="Normal"/>
              <w:snapToGrid w:val="false"/>
              <w:jc w:val="center"/>
              <w:rPr>
                <w:sz w:val="22"/>
              </w:rPr>
            </w:pPr>
            <w:r>
              <w:rPr>
                <w:sz w:val="22"/>
              </w:rPr>
            </w:r>
          </w:p>
        </w:tc>
        <w:tc>
          <w:tcPr>
            <w:tcW w:w="1172" w:type="dxa"/>
            <w:tcBorders>
              <w:end w:val="single" w:sz="4" w:space="0" w:color="000000"/>
            </w:tcBorders>
            <w:shd w:fill="C0C0C0" w:val="clear"/>
            <w:vAlign w:val="bottom"/>
          </w:tcPr>
          <w:p>
            <w:pPr>
              <w:pStyle w:val="Normal"/>
              <w:snapToGrid w:val="false"/>
              <w:jc w:val="center"/>
              <w:rPr>
                <w:sz w:val="22"/>
              </w:rPr>
            </w:pPr>
            <w:r>
              <w:rPr>
                <w:sz w:val="22"/>
              </w:rPr>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North American</w:t>
            </w:r>
          </w:p>
        </w:tc>
        <w:tc>
          <w:tcPr>
            <w:tcW w:w="1480" w:type="dxa"/>
            <w:tcBorders>
              <w:end w:val="single" w:sz="4" w:space="0" w:color="000000"/>
            </w:tcBorders>
            <w:vAlign w:val="bottom"/>
          </w:tcPr>
          <w:p>
            <w:pPr>
              <w:pStyle w:val="Normal"/>
              <w:jc w:val="center"/>
              <w:rPr>
                <w:sz w:val="22"/>
              </w:rPr>
            </w:pPr>
            <w:r>
              <w:rPr>
                <w:sz w:val="22"/>
              </w:rPr>
              <w:t>83</w:t>
            </w:r>
          </w:p>
        </w:tc>
        <w:tc>
          <w:tcPr>
            <w:tcW w:w="885" w:type="dxa"/>
            <w:tcBorders>
              <w:end w:val="single" w:sz="4" w:space="0" w:color="000000"/>
            </w:tcBorders>
            <w:vAlign w:val="bottom"/>
          </w:tcPr>
          <w:p>
            <w:pPr>
              <w:pStyle w:val="Normal"/>
              <w:jc w:val="center"/>
              <w:rPr>
                <w:sz w:val="22"/>
              </w:rPr>
            </w:pPr>
            <w:r>
              <w:rPr>
                <w:sz w:val="22"/>
              </w:rPr>
              <w:t>$296</w:t>
            </w:r>
          </w:p>
        </w:tc>
        <w:tc>
          <w:tcPr>
            <w:tcW w:w="798" w:type="dxa"/>
            <w:tcBorders>
              <w:end w:val="single" w:sz="4" w:space="0" w:color="000000"/>
            </w:tcBorders>
            <w:vAlign w:val="bottom"/>
          </w:tcPr>
          <w:p>
            <w:pPr>
              <w:pStyle w:val="Normal"/>
              <w:jc w:val="center"/>
              <w:rPr>
                <w:sz w:val="22"/>
              </w:rPr>
            </w:pPr>
            <w:r>
              <w:rPr>
                <w:sz w:val="22"/>
              </w:rPr>
              <w:t>$9</w:t>
            </w:r>
          </w:p>
        </w:tc>
        <w:tc>
          <w:tcPr>
            <w:tcW w:w="1172" w:type="dxa"/>
            <w:tcBorders>
              <w:end w:val="single" w:sz="4" w:space="0" w:color="000000"/>
            </w:tcBorders>
            <w:vAlign w:val="bottom"/>
          </w:tcPr>
          <w:p>
            <w:pPr>
              <w:pStyle w:val="Normal"/>
              <w:jc w:val="center"/>
              <w:rPr>
                <w:sz w:val="22"/>
              </w:rPr>
            </w:pPr>
            <w:r>
              <w:rPr>
                <w:sz w:val="22"/>
              </w:rPr>
              <w:t>$153</w:t>
            </w:r>
          </w:p>
        </w:tc>
      </w:tr>
      <w:tr>
        <w:trPr>
          <w:trHeight w:val="270" w:hRule="atLeast"/>
        </w:trPr>
        <w:tc>
          <w:tcPr>
            <w:tcW w:w="2780" w:type="dxa"/>
            <w:tcBorders>
              <w:start w:val="single" w:sz="4" w:space="0" w:color="000000"/>
              <w:end w:val="single" w:sz="4" w:space="0" w:color="000000"/>
            </w:tcBorders>
          </w:tcPr>
          <w:p>
            <w:pPr>
              <w:pStyle w:val="Normal"/>
              <w:rPr>
                <w:sz w:val="22"/>
              </w:rPr>
            </w:pPr>
            <w:r>
              <w:rPr>
                <w:sz w:val="22"/>
              </w:rPr>
              <w:t>European – LPG</w:t>
            </w:r>
          </w:p>
        </w:tc>
        <w:tc>
          <w:tcPr>
            <w:tcW w:w="1480" w:type="dxa"/>
            <w:tcBorders>
              <w:end w:val="single" w:sz="4" w:space="0" w:color="000000"/>
            </w:tcBorders>
            <w:vAlign w:val="bottom"/>
          </w:tcPr>
          <w:p>
            <w:pPr>
              <w:pStyle w:val="Normal"/>
              <w:jc w:val="center"/>
              <w:rPr>
                <w:sz w:val="22"/>
              </w:rPr>
            </w:pPr>
            <w:r>
              <w:rPr>
                <w:sz w:val="22"/>
              </w:rPr>
              <w:t>111</w:t>
            </w:r>
          </w:p>
        </w:tc>
        <w:tc>
          <w:tcPr>
            <w:tcW w:w="885" w:type="dxa"/>
            <w:tcBorders>
              <w:end w:val="single" w:sz="4" w:space="0" w:color="000000"/>
            </w:tcBorders>
            <w:vAlign w:val="bottom"/>
          </w:tcPr>
          <w:p>
            <w:pPr>
              <w:pStyle w:val="Normal"/>
              <w:jc w:val="center"/>
              <w:rPr>
                <w:sz w:val="22"/>
              </w:rPr>
            </w:pPr>
            <w:r>
              <w:rPr>
                <w:sz w:val="22"/>
              </w:rPr>
              <w:t>$78</w:t>
            </w:r>
          </w:p>
        </w:tc>
        <w:tc>
          <w:tcPr>
            <w:tcW w:w="798" w:type="dxa"/>
            <w:tcBorders>
              <w:end w:val="single" w:sz="4" w:space="0" w:color="000000"/>
            </w:tcBorders>
            <w:vAlign w:val="bottom"/>
          </w:tcPr>
          <w:p>
            <w:pPr>
              <w:pStyle w:val="Normal"/>
              <w:jc w:val="center"/>
              <w:rPr>
                <w:sz w:val="22"/>
              </w:rPr>
            </w:pPr>
            <w:r>
              <w:rPr>
                <w:sz w:val="22"/>
              </w:rPr>
              <w:t>$18</w:t>
            </w:r>
          </w:p>
        </w:tc>
        <w:tc>
          <w:tcPr>
            <w:tcW w:w="1172" w:type="dxa"/>
            <w:tcBorders>
              <w:end w:val="single" w:sz="4" w:space="0" w:color="000000"/>
            </w:tcBorders>
            <w:vAlign w:val="bottom"/>
          </w:tcPr>
          <w:p>
            <w:pPr>
              <w:pStyle w:val="Normal"/>
              <w:jc w:val="center"/>
              <w:rPr>
                <w:sz w:val="22"/>
              </w:rPr>
            </w:pPr>
            <w:r>
              <w:rPr>
                <w:sz w:val="22"/>
              </w:rPr>
              <w:t>$48</w:t>
            </w:r>
          </w:p>
        </w:tc>
      </w:tr>
      <w:tr>
        <w:trPr>
          <w:trHeight w:val="270" w:hRule="atLeast"/>
        </w:trPr>
        <w:tc>
          <w:tcPr>
            <w:tcW w:w="2780" w:type="dxa"/>
            <w:tcBorders>
              <w:start w:val="single" w:sz="4" w:space="0" w:color="000000"/>
              <w:bottom w:val="single" w:sz="4" w:space="0" w:color="000000"/>
              <w:end w:val="single" w:sz="4" w:space="0" w:color="000000"/>
            </w:tcBorders>
          </w:tcPr>
          <w:p>
            <w:pPr>
              <w:pStyle w:val="Normal"/>
              <w:rPr>
                <w:sz w:val="22"/>
              </w:rPr>
            </w:pPr>
            <w:r>
              <w:rPr>
                <w:sz w:val="22"/>
              </w:rPr>
              <w:t>European - Petchems</w:t>
            </w:r>
          </w:p>
        </w:tc>
        <w:tc>
          <w:tcPr>
            <w:tcW w:w="1480" w:type="dxa"/>
            <w:tcBorders>
              <w:bottom w:val="single" w:sz="4" w:space="0" w:color="000000"/>
              <w:end w:val="single" w:sz="4" w:space="0" w:color="000000"/>
            </w:tcBorders>
            <w:vAlign w:val="bottom"/>
          </w:tcPr>
          <w:p>
            <w:pPr>
              <w:pStyle w:val="Normal"/>
              <w:jc w:val="center"/>
              <w:rPr>
                <w:sz w:val="22"/>
              </w:rPr>
            </w:pPr>
            <w:r>
              <w:rPr>
                <w:sz w:val="22"/>
              </w:rPr>
              <w:t>73</w:t>
            </w:r>
          </w:p>
        </w:tc>
        <w:tc>
          <w:tcPr>
            <w:tcW w:w="885" w:type="dxa"/>
            <w:tcBorders>
              <w:bottom w:val="single" w:sz="4" w:space="0" w:color="000000"/>
              <w:end w:val="single" w:sz="4" w:space="0" w:color="000000"/>
            </w:tcBorders>
            <w:vAlign w:val="bottom"/>
          </w:tcPr>
          <w:p>
            <w:pPr>
              <w:pStyle w:val="Normal"/>
              <w:jc w:val="center"/>
              <w:rPr>
                <w:sz w:val="22"/>
              </w:rPr>
            </w:pPr>
            <w:r>
              <w:rPr>
                <w:sz w:val="22"/>
              </w:rPr>
              <w:t>$61</w:t>
            </w:r>
          </w:p>
        </w:tc>
        <w:tc>
          <w:tcPr>
            <w:tcW w:w="798" w:type="dxa"/>
            <w:tcBorders>
              <w:bottom w:val="single" w:sz="4" w:space="0" w:color="000000"/>
              <w:end w:val="single" w:sz="4" w:space="0" w:color="000000"/>
            </w:tcBorders>
            <w:vAlign w:val="bottom"/>
          </w:tcPr>
          <w:p>
            <w:pPr>
              <w:pStyle w:val="Normal"/>
              <w:snapToGrid w:val="false"/>
              <w:jc w:val="center"/>
              <w:rPr>
                <w:sz w:val="22"/>
              </w:rPr>
            </w:pPr>
            <w:r>
              <w:rPr>
                <w:sz w:val="22"/>
              </w:rPr>
            </w:r>
          </w:p>
        </w:tc>
        <w:tc>
          <w:tcPr>
            <w:tcW w:w="1172" w:type="dxa"/>
            <w:tcBorders>
              <w:bottom w:val="single" w:sz="4" w:space="0" w:color="000000"/>
              <w:end w:val="single" w:sz="4" w:space="0" w:color="000000"/>
            </w:tcBorders>
            <w:vAlign w:val="bottom"/>
          </w:tcPr>
          <w:p>
            <w:pPr>
              <w:pStyle w:val="Normal"/>
              <w:jc w:val="center"/>
              <w:rPr>
                <w:sz w:val="22"/>
              </w:rPr>
            </w:pPr>
            <w:r>
              <w:rPr>
                <w:sz w:val="22"/>
              </w:rPr>
              <w:t>$31</w:t>
            </w:r>
          </w:p>
        </w:tc>
      </w:tr>
    </w:tbl>
    <w:p>
      <w:pPr>
        <w:pStyle w:val="Normal"/>
        <w:rPr>
          <w:sz w:val="22"/>
        </w:rPr>
      </w:pPr>
      <w:r>
        <w:rPr>
          <w:sz w:val="22"/>
        </w:rPr>
      </w:r>
    </w:p>
    <w:p>
      <w:pPr>
        <w:pStyle w:val="Normal"/>
        <w:rPr>
          <w:sz w:val="22"/>
        </w:rPr>
      </w:pPr>
      <w:r>
        <w:rPr>
          <w:sz w:val="22"/>
        </w:rPr>
      </w:r>
    </w:p>
    <w:p>
      <w:pPr>
        <w:pStyle w:val="Normal"/>
        <w:jc w:val="both"/>
        <w:rPr>
          <w:sz w:val="22"/>
        </w:rPr>
      </w:pPr>
      <w:r>
        <w:rPr/>
        <w:t>This information can act a as a guideline for determining customer pricing for data published by EOL. GVSI can suggest more specific targets within these ranges after discussions with EOL to gather more detail on the depth of market that exists now and in the future for each of the markets that EOL will publish.</w:t>
      </w:r>
    </w:p>
    <w:p>
      <w:pPr>
        <w:pStyle w:val="Normal"/>
        <w:rPr>
          <w:sz w:val="22"/>
        </w:rPr>
      </w:pPr>
      <w:r>
        <w:rPr>
          <w:sz w:val="22"/>
        </w:rPr>
      </w:r>
    </w:p>
    <w:p>
      <w:pPr>
        <w:pStyle w:val="Normal"/>
        <w:jc w:val="center"/>
        <w:rPr>
          <w:b/>
          <w:sz w:val="22"/>
        </w:rPr>
      </w:pPr>
      <w:r>
        <w:rPr>
          <w:b/>
          <w:sz w:val="22"/>
        </w:rPr>
      </w:r>
    </w:p>
    <w:p>
      <w:pPr>
        <w:pStyle w:val="Normal"/>
        <w:jc w:val="both"/>
        <w:rPr>
          <w:b/>
        </w:rPr>
      </w:pPr>
      <w:r>
        <w:rPr>
          <w:b/>
        </w:rPr>
      </w:r>
    </w:p>
    <w:p>
      <w:pPr>
        <w:pStyle w:val="Normal"/>
        <w:jc w:val="both"/>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1008" w:top="1064" w:footer="432" w:bottom="936"/>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ind w:end="360"/>
      <w:rPr/>
    </w:pPr>
    <w:r>
      <w:rPr>
        <w:rFonts w:cs="Arial" w:ascii="Arial" w:hAnsi="Arial"/>
        <w:bCs/>
        <w:i/>
        <w:sz w:val="16"/>
      </w:rPr>
      <w:t>Proprietary and Confidential © 2001</w:t>
    </w:r>
    <w:r>
      <w:rPr>
        <w:bCs/>
        <w:i/>
      </w:rPr>
      <w:tab/>
      <w:tab/>
      <w:t xml:space="preserve">  </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bCs/>
        <w:i/>
        <w:i/>
      </w:rPr>
    </w:pPr>
    <w:r>
      <w:rPr>
        <w:bCs/>
        <w: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73" w:type="dxa"/>
      <w:jc w:val="start"/>
      <w:tblInd w:w="0" w:type="dxa"/>
      <w:tblLayout w:type="fixed"/>
      <w:tblCellMar>
        <w:top w:w="0" w:type="dxa"/>
        <w:start w:w="108" w:type="dxa"/>
        <w:bottom w:w="0" w:type="dxa"/>
        <w:end w:w="108" w:type="dxa"/>
      </w:tblCellMar>
    </w:tblPr>
    <w:tblGrid>
      <w:gridCol w:w="5418"/>
      <w:gridCol w:w="4555"/>
    </w:tblGrid>
    <w:tr>
      <w:trPr>
        <w:trHeight w:val="900" w:hRule="atLeast"/>
      </w:trPr>
      <w:tc>
        <w:tcPr>
          <w:tcW w:w="5418" w:type="dxa"/>
          <w:tcBorders/>
        </w:tcPr>
        <w:p>
          <w:pPr>
            <w:pStyle w:val="Heading2"/>
            <w:ind w:hanging="0" w:start="0"/>
            <w:rPr/>
          </w:pPr>
          <w:r>
            <w:rPr/>
            <w:t>Proposal to EnronOnline</w:t>
          </w:r>
        </w:p>
      </w:tc>
      <w:tc>
        <w:tcPr>
          <w:tcW w:w="4555" w:type="dxa"/>
          <w:tcBorders/>
        </w:tcPr>
        <w:p>
          <w:pPr>
            <w:pStyle w:val="Heading2"/>
            <w:ind w:hanging="0" w:start="0"/>
            <w:rPr>
              <w:rFonts w:ascii="Arial" w:hAnsi="Arial" w:cs="Arial"/>
              <w:b w:val="false"/>
              <w:bCs w:val="false"/>
            </w:rPr>
          </w:pPr>
          <w:r>
            <w:rPr/>
            <w:drawing>
              <wp:inline distT="0" distB="0" distL="0" distR="0">
                <wp:extent cx="2028825" cy="714375"/>
                <wp:effectExtent l="0" t="0" r="0" b="0"/>
                <wp:docPr id="1" name="gv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logo" descr="" title=""/>
                        <pic:cNvPicPr>
                          <a:picLocks noChangeAspect="1" noChangeArrowheads="1"/>
                        </pic:cNvPicPr>
                      </pic:nvPicPr>
                      <pic:blipFill>
                        <a:blip r:embed="rId1"/>
                        <a:srcRect l="-18" t="-50" r="-18" b="-50"/>
                        <a:stretch>
                          <a:fillRect/>
                        </a:stretch>
                      </pic:blipFill>
                      <pic:spPr bwMode="auto">
                        <a:xfrm>
                          <a:off x="0" y="0"/>
                          <a:ext cx="2028825" cy="714375"/>
                        </a:xfrm>
                        <a:prstGeom prst="rect">
                          <a:avLst/>
                        </a:prstGeom>
                        <a:noFill/>
                      </pic:spPr>
                    </pic:pic>
                  </a:graphicData>
                </a:graphic>
              </wp:inline>
            </w:drawing>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cs="Arial"/>
      <w:b/>
      <w:bCs/>
      <w:sz w:val="24"/>
    </w:rPr>
  </w:style>
  <w:style w:type="paragraph" w:styleId="Heading2">
    <w:name w:val="heading 2"/>
    <w:basedOn w:val="Normal"/>
    <w:next w:val="Normal"/>
    <w:qFormat/>
    <w:pPr>
      <w:keepNext w:val="true"/>
      <w:numPr>
        <w:ilvl w:val="1"/>
        <w:numId w:val="1"/>
      </w:numPr>
      <w:outlineLvl w:val="1"/>
    </w:pPr>
    <w:rPr>
      <w:b/>
      <w:bCs/>
      <w:i/>
      <w:smallCaps/>
      <w:sz w:val="28"/>
    </w:rPr>
  </w:style>
  <w:style w:type="paragraph" w:styleId="Heading3">
    <w:name w:val="heading 3"/>
    <w:basedOn w:val="Normal"/>
    <w:next w:val="Normal"/>
    <w:qFormat/>
    <w:pPr>
      <w:keepNext w:val="true"/>
      <w:numPr>
        <w:ilvl w:val="2"/>
        <w:numId w:val="1"/>
      </w:numPr>
      <w:ind w:hanging="0" w:start="1080" w:end="0"/>
      <w:outlineLvl w:val="2"/>
    </w:pPr>
    <w:rPr>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i/>
      <w:sz w:val="22"/>
    </w:rPr>
  </w:style>
  <w:style w:type="paragraph" w:styleId="Heading5">
    <w:name w:val="heading 5"/>
    <w:basedOn w:val="Normal"/>
    <w:next w:val="Normal"/>
    <w:qFormat/>
    <w:pPr>
      <w:keepNext w:val="true"/>
      <w:numPr>
        <w:ilvl w:val="4"/>
        <w:numId w:val="1"/>
      </w:numPr>
      <w:outlineLvl w:val="4"/>
    </w:pPr>
    <w:rPr>
      <w:rFonts w:ascii="Arial" w:hAnsi="Arial" w:cs="Arial"/>
      <w:b/>
      <w:i/>
      <w:sz w:val="22"/>
    </w:rPr>
  </w:style>
  <w:style w:type="paragraph" w:styleId="Heading6">
    <w:name w:val="heading 6"/>
    <w:basedOn w:val="Normal"/>
    <w:next w:val="Normal"/>
    <w:qFormat/>
    <w:pPr>
      <w:keepNext w:val="true"/>
      <w:numPr>
        <w:ilvl w:val="5"/>
        <w:numId w:val="1"/>
      </w:numPr>
      <w:ind w:hanging="0" w:start="3150" w:end="0"/>
      <w:outlineLvl w:val="5"/>
    </w:pPr>
    <w:rPr>
      <w:rFonts w:ascii="Arial" w:hAnsi="Arial" w:cs="Arial"/>
      <w:b/>
      <w:i/>
      <w:sz w:val="22"/>
    </w:rPr>
  </w:style>
  <w:style w:type="paragraph" w:styleId="Heading7">
    <w:name w:val="heading 7"/>
    <w:basedOn w:val="Normal"/>
    <w:next w:val="Normal"/>
    <w:qFormat/>
    <w:pPr>
      <w:keepNext w:val="true"/>
      <w:numPr>
        <w:ilvl w:val="6"/>
        <w:numId w:val="1"/>
      </w:numPr>
      <w:ind w:hanging="0" w:start="720" w:end="0"/>
      <w:outlineLvl w:val="6"/>
    </w:pPr>
    <w:rPr>
      <w:rFonts w:ascii="Arial" w:hAnsi="Arial" w:cs="Arial"/>
      <w:b/>
      <w:i/>
      <w:sz w:val="22"/>
    </w:rPr>
  </w:style>
  <w:style w:type="paragraph" w:styleId="Heading8">
    <w:name w:val="heading 8"/>
    <w:basedOn w:val="Normal"/>
    <w:next w:val="Normal"/>
    <w:qFormat/>
    <w:pPr>
      <w:keepNext w:val="true"/>
      <w:numPr>
        <w:ilvl w:val="7"/>
        <w:numId w:val="1"/>
      </w:numPr>
      <w:jc w:val="both"/>
      <w:outlineLvl w:val="7"/>
    </w:pPr>
    <w:rPr>
      <w:rFonts w:ascii="Arial" w:hAnsi="Arial" w:cs="Arial"/>
      <w:b/>
      <w:i/>
      <w:sz w:val="18"/>
    </w:rPr>
  </w:style>
  <w:style w:type="paragraph" w:styleId="Heading9">
    <w:name w:val="heading 9"/>
    <w:basedOn w:val="Normal"/>
    <w:next w:val="Normal"/>
    <w:qFormat/>
    <w:pPr>
      <w:keepNext w:val="true"/>
      <w:numPr>
        <w:ilvl w:val="8"/>
        <w:numId w:val="1"/>
      </w:numPr>
      <w:ind w:hanging="0" w:start="1710" w:end="0"/>
      <w:jc w:val="both"/>
      <w:outlineLvl w:val="8"/>
    </w:pPr>
    <w:rPr>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sz w:val="16"/>
    </w:rPr>
  </w:style>
  <w:style w:type="character" w:styleId="WW8Num36z1">
    <w:name w:val="WW8Num36z1"/>
    <w:qFormat/>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6z4">
    <w:name w:val="WW8Num36z4"/>
    <w:qFormat/>
    <w:rPr>
      <w:rFonts w:ascii="Courier New" w:hAnsi="Courier New" w:cs="Courier New"/>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color w:val="808080"/>
      <w:sz w:val="16"/>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color w:val="auto"/>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1">
    <w:name w:val="WW8Num75z1"/>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80z0">
    <w:name w:val="WW8Num80z0"/>
    <w:qFormat/>
    <w:rPr>
      <w:rFonts w:ascii="Wingdings" w:hAnsi="Wingdings" w:cs="Wingdings"/>
    </w:rPr>
  </w:style>
  <w:style w:type="character" w:styleId="WW8Num80z1">
    <w:name w:val="WW8Num80z1"/>
    <w:qFormat/>
    <w:rPr>
      <w:rFonts w:ascii="Courier New" w:hAnsi="Courier New" w:cs="Courier New"/>
    </w:rPr>
  </w:style>
  <w:style w:type="character" w:styleId="WW8Num80z3">
    <w:name w:val="WW8Num80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4z0">
    <w:name w:val="WW8Num84z0"/>
    <w:qFormat/>
    <w:rPr>
      <w:rFonts w:ascii="Times New Roman" w:hAnsi="Times New Roman" w:cs="Times New Roman"/>
      <w:b/>
      <w:sz w:val="22"/>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Symbol" w:hAnsi="Symbol" w:eastAsia="Times New Roman" w:cs="Times New Roman"/>
      <w:b/>
      <w:sz w:val="2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3z0">
    <w:name w:val="WW8Num93z0"/>
    <w:qFormat/>
    <w:rPr>
      <w:rFonts w:ascii="Wingdings" w:hAnsi="Wingdings" w:cs="Wingdings"/>
    </w:rPr>
  </w:style>
  <w:style w:type="character" w:styleId="WW8Num93z1">
    <w:name w:val="WW8Num93z1"/>
    <w:qFormat/>
    <w:rPr>
      <w:rFonts w:ascii="Courier New" w:hAnsi="Courier New" w:cs="Courier New"/>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9z0">
    <w:name w:val="WW8Num99z0"/>
    <w:qFormat/>
    <w:rPr>
      <w:rFonts w:ascii="Wingdings" w:hAnsi="Wingdings" w:cs="Wingdings"/>
    </w:rPr>
  </w:style>
  <w:style w:type="character" w:styleId="WW8Num99z1">
    <w:name w:val="WW8Num99z1"/>
    <w:qFormat/>
    <w:rPr>
      <w:rFonts w:ascii="Courier New" w:hAnsi="Courier New" w:cs="Courier New"/>
    </w:rPr>
  </w:style>
  <w:style w:type="character" w:styleId="WW8Num99z3">
    <w:name w:val="WW8Num99z3"/>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St18z0">
    <w:name w:val="WW8NumSt1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240"/>
      <w:jc w:val="both"/>
    </w:pPr>
    <w:rPr>
      <w:rFonts w:ascii="Arial" w:hAnsi="Arial" w:cs="Arial"/>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BodyTextIndent3">
    <w:name w:val="Body Text Indent 3"/>
    <w:basedOn w:val="Normal"/>
    <w:qFormat/>
    <w:pPr>
      <w:ind w:firstLine="720" w:start="0" w:end="0"/>
      <w:jc w:val="both"/>
    </w:pPr>
    <w:rPr/>
  </w:style>
  <w:style w:type="paragraph" w:styleId="BodyText3">
    <w:name w:val="Body Text 3"/>
    <w:basedOn w:val="Normal"/>
    <w:qFormat/>
    <w:pPr/>
    <w:rPr>
      <w:rFonts w:ascii="Arial" w:hAnsi="Arial" w:cs="Arial"/>
      <w:sz w:val="18"/>
    </w:rPr>
  </w:style>
  <w:style w:type="paragraph" w:styleId="NormalWeb">
    <w:name w:val="Normal (Web)"/>
    <w:basedOn w:val="Normal"/>
    <w:qFormat/>
    <w:pPr>
      <w:spacing w:before="100" w:after="100"/>
    </w:pPr>
    <w:rPr>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BodyTextIndent">
    <w:name w:val="Body Text Indent"/>
    <w:basedOn w:val="Normal"/>
    <w:pPr>
      <w:ind w:hanging="0" w:start="720" w:end="0"/>
    </w:pPr>
    <w:rPr>
      <w:sz w:val="24"/>
    </w:rPr>
  </w:style>
  <w:style w:type="paragraph" w:styleId="Blockquote">
    <w:name w:val="Blockquote"/>
    <w:basedOn w:val="Normal"/>
    <w:qFormat/>
    <w:pPr>
      <w:spacing w:before="100" w:after="100"/>
      <w:ind w:hanging="0" w:start="360" w:end="360"/>
    </w:pPr>
    <w:rPr>
      <w:sz w:val="24"/>
    </w:rPr>
  </w:style>
  <w:style w:type="paragraph" w:styleId="BodyTextIndent2">
    <w:name w:val="Body Text Indent 2"/>
    <w:basedOn w:val="Normal"/>
    <w:qFormat/>
    <w:pPr>
      <w:ind w:hanging="0" w:start="720" w:end="0"/>
      <w:jc w:val="both"/>
    </w:pPr>
    <w:rPr>
      <w:sz w:val="24"/>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right" w:pos="9523" w:leader="dot"/>
      </w:tabs>
      <w:spacing w:before="0" w:after="240"/>
      <w:ind w:hanging="0" w:start="0" w:end="900"/>
      <w:jc w:val="end"/>
    </w:pPr>
    <w:rPr>
      <w:b/>
      <w:i/>
      <w:smallCaps/>
      <w:sz w:val="36"/>
      <w:lang w:val="en-CA" w:eastAsia="en-CA"/>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CommentText">
    <w:name w:val="Comment Text"/>
    <w:basedOn w:val="Normal"/>
    <w:qFormat/>
    <w:pPr/>
    <w:rPr/>
  </w:style>
  <w:style w:type="paragraph" w:styleId="BlockText">
    <w:name w:val="Block Text"/>
    <w:basedOn w:val="Normal"/>
    <w:qFormat/>
    <w:pPr>
      <w:spacing w:before="0" w:after="120"/>
      <w:ind w:hanging="0" w:start="1440" w:end="1440"/>
    </w:pPr>
    <w:rPr/>
  </w:style>
  <w:style w:type="paragraph" w:styleId="BodyTextFirstIndent">
    <w:name w:val="Body Text First Indent"/>
    <w:basedOn w:val="BodyText"/>
    <w:qFormat/>
    <w:pPr>
      <w:spacing w:before="0" w:after="120"/>
      <w:ind w:firstLine="210" w:start="0" w:end="0"/>
      <w:jc w:val="start"/>
    </w:pPr>
    <w:rPr>
      <w:rFonts w:ascii="Times New Roman" w:hAnsi="Times New Roman" w:cs="Times New Roman"/>
      <w:sz w:val="20"/>
    </w:rPr>
  </w:style>
  <w:style w:type="paragraph" w:styleId="BodyTextFirstIndent2">
    <w:name w:val="Body Text First Indent 2"/>
    <w:basedOn w:val="BodyTextIndent"/>
    <w:qFormat/>
    <w:pPr>
      <w:spacing w:before="0" w:after="120"/>
      <w:ind w:firstLine="210" w:start="360" w:end="0"/>
    </w:pPr>
    <w:rPr>
      <w:sz w:val="20"/>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xl22">
    <w:name w:val="xl22"/>
    <w:basedOn w:val="Normal"/>
    <w:qFormat/>
    <w:pPr>
      <w:spacing w:before="100" w:after="100"/>
    </w:pPr>
    <w:rPr>
      <w:u w:val="single"/>
    </w:rPr>
  </w:style>
  <w:style w:type="paragraph" w:styleId="xl23">
    <w:name w:val="xl23"/>
    <w:basedOn w:val="Normal"/>
    <w:qFormat/>
    <w:pPr>
      <w:spacing w:before="100" w:after="100"/>
      <w:jc w:val="center"/>
    </w:pPr>
    <w:rPr/>
  </w:style>
  <w:style w:type="paragraph" w:styleId="xl24">
    <w:name w:val="xl24"/>
    <w:basedOn w:val="Normal"/>
    <w:qFormat/>
    <w:pPr>
      <w:spacing w:before="100" w:after="100"/>
    </w:pPr>
    <w:rPr/>
  </w:style>
  <w:style w:type="paragraph" w:styleId="xl25">
    <w:name w:val="xl25"/>
    <w:basedOn w:val="Normal"/>
    <w:qFormat/>
    <w:pPr>
      <w:pBdr>
        <w:bottom w:val="single" w:sz="4" w:space="0" w:color="000000"/>
      </w:pBdr>
      <w:spacing w:before="100" w:after="100"/>
      <w:jc w:val="center"/>
    </w:pPr>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pPr>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jc w:val="center"/>
    </w:pPr>
    <w:rPr/>
  </w:style>
  <w:style w:type="paragraph" w:styleId="xl28">
    <w:name w:val="xl28"/>
    <w:basedOn w:val="Normal"/>
    <w:qFormat/>
    <w:pPr>
      <w:pBdr>
        <w:left w:val="single" w:sz="4" w:space="0" w:color="000000"/>
        <w:right w:val="single" w:sz="4" w:space="0" w:color="000000"/>
      </w:pBdr>
      <w:spacing w:before="100" w:after="100"/>
      <w:textAlignment w:val="center"/>
    </w:pPr>
    <w:rPr/>
  </w:style>
  <w:style w:type="paragraph" w:styleId="xl29">
    <w:name w:val="xl29"/>
    <w:basedOn w:val="Normal"/>
    <w:qFormat/>
    <w:pPr>
      <w:pBdr>
        <w:top w:val="single" w:sz="4" w:space="0" w:color="000000"/>
        <w:left w:val="single" w:sz="4" w:space="0" w:color="000000"/>
        <w:bottom w:val="dotted" w:sz="4" w:space="0" w:color="000000"/>
        <w:right w:val="single" w:sz="4" w:space="0" w:color="000000"/>
      </w:pBdr>
      <w:spacing w:before="100" w:after="100"/>
    </w:pPr>
    <w:rPr/>
  </w:style>
  <w:style w:type="paragraph" w:styleId="xl30">
    <w:name w:val="xl30"/>
    <w:basedOn w:val="Normal"/>
    <w:qFormat/>
    <w:pPr>
      <w:pBdr>
        <w:top w:val="single" w:sz="4" w:space="0" w:color="000000"/>
        <w:left w:val="single" w:sz="4" w:space="0" w:color="000000"/>
        <w:bottom w:val="dotted" w:sz="4" w:space="0" w:color="000000"/>
        <w:right w:val="single" w:sz="4" w:space="0" w:color="000000"/>
      </w:pBdr>
      <w:spacing w:before="100" w:after="100"/>
      <w:jc w:val="center"/>
      <w:textAlignment w:val="center"/>
    </w:pPr>
    <w:rPr/>
  </w:style>
  <w:style w:type="paragraph" w:styleId="xl31">
    <w:name w:val="xl31"/>
    <w:basedOn w:val="Normal"/>
    <w:qFormat/>
    <w:pPr>
      <w:pBdr>
        <w:top w:val="dotted" w:sz="4" w:space="0" w:color="000000"/>
        <w:left w:val="single" w:sz="4" w:space="0" w:color="000000"/>
        <w:bottom w:val="dotted" w:sz="4" w:space="0" w:color="000000"/>
        <w:right w:val="single" w:sz="4" w:space="0" w:color="000000"/>
      </w:pBdr>
      <w:spacing w:before="100" w:after="100"/>
    </w:pPr>
    <w:rPr/>
  </w:style>
  <w:style w:type="paragraph" w:styleId="xl32">
    <w:name w:val="xl32"/>
    <w:basedOn w:val="Normal"/>
    <w:qFormat/>
    <w:pPr>
      <w:pBdr>
        <w:top w:val="dotted" w:sz="4" w:space="0" w:color="000000"/>
        <w:left w:val="single" w:sz="4" w:space="0" w:color="000000"/>
        <w:bottom w:val="dotted" w:sz="4" w:space="0" w:color="000000"/>
        <w:right w:val="single" w:sz="4" w:space="0" w:color="000000"/>
      </w:pBdr>
      <w:spacing w:before="100" w:after="100"/>
      <w:jc w:val="center"/>
    </w:pPr>
    <w:rPr/>
  </w:style>
  <w:style w:type="paragraph" w:styleId="xl33">
    <w:name w:val="xl33"/>
    <w:basedOn w:val="Normal"/>
    <w:qFormat/>
    <w:pPr>
      <w:pBdr>
        <w:top w:val="dotted" w:sz="4" w:space="0" w:color="000000"/>
        <w:left w:val="single" w:sz="4" w:space="0" w:color="000000"/>
        <w:right w:val="single" w:sz="4" w:space="0" w:color="000000"/>
      </w:pBdr>
      <w:spacing w:before="100" w:after="100"/>
      <w:jc w:val="center"/>
    </w:pPr>
    <w:rPr/>
  </w:style>
  <w:style w:type="paragraph" w:styleId="xl34">
    <w:name w:val="xl34"/>
    <w:basedOn w:val="Normal"/>
    <w:qFormat/>
    <w:pPr>
      <w:pBdr>
        <w:left w:val="single" w:sz="4" w:space="0" w:color="000000"/>
        <w:right w:val="single" w:sz="4" w:space="0" w:color="000000"/>
      </w:pBdr>
      <w:spacing w:before="100" w:after="100"/>
    </w:pPr>
    <w:rPr/>
  </w:style>
  <w:style w:type="paragraph" w:styleId="xl35">
    <w:name w:val="xl35"/>
    <w:basedOn w:val="Normal"/>
    <w:qFormat/>
    <w:pPr>
      <w:pBdr>
        <w:left w:val="single" w:sz="4" w:space="0" w:color="000000"/>
        <w:right w:val="single" w:sz="4" w:space="0" w:color="000000"/>
      </w:pBdr>
      <w:spacing w:before="100" w:after="100"/>
      <w:jc w:val="center"/>
    </w:pPr>
    <w:rPr/>
  </w:style>
  <w:style w:type="paragraph" w:styleId="xl36">
    <w:name w:val="xl36"/>
    <w:basedOn w:val="Normal"/>
    <w:qFormat/>
    <w:pPr>
      <w:pBdr>
        <w:left w:val="single" w:sz="4" w:space="0" w:color="000000"/>
        <w:bottom w:val="dotted" w:sz="4" w:space="0" w:color="000000"/>
        <w:right w:val="single" w:sz="4" w:space="0" w:color="000000"/>
      </w:pBdr>
      <w:spacing w:before="100" w:after="100"/>
    </w:pPr>
    <w:rPr/>
  </w:style>
  <w:style w:type="paragraph" w:styleId="xl37">
    <w:name w:val="xl37"/>
    <w:basedOn w:val="Normal"/>
    <w:qFormat/>
    <w:pPr>
      <w:pBdr>
        <w:left w:val="single" w:sz="4" w:space="0" w:color="000000"/>
        <w:bottom w:val="dotted" w:sz="4" w:space="0" w:color="000000"/>
        <w:right w:val="single" w:sz="4" w:space="0" w:color="000000"/>
      </w:pBdr>
      <w:spacing w:before="100" w:after="100"/>
      <w:jc w:val="center"/>
    </w:pPr>
    <w:rPr/>
  </w:style>
  <w:style w:type="paragraph" w:styleId="xl38">
    <w:name w:val="xl38"/>
    <w:basedOn w:val="Normal"/>
    <w:qFormat/>
    <w:pPr>
      <w:pBdr>
        <w:left w:val="single" w:sz="4" w:space="0" w:color="000000"/>
        <w:right w:val="single" w:sz="4" w:space="0" w:color="000000"/>
      </w:pBdr>
      <w:spacing w:before="100" w:after="100"/>
      <w:jc w:val="center"/>
    </w:pPr>
    <w:rPr/>
  </w:style>
  <w:style w:type="paragraph" w:styleId="xl39">
    <w:name w:val="xl39"/>
    <w:basedOn w:val="Normal"/>
    <w:qFormat/>
    <w:pPr>
      <w:pBdr>
        <w:left w:val="single" w:sz="4" w:space="0" w:color="000000"/>
        <w:bottom w:val="single" w:sz="4" w:space="0" w:color="000000"/>
        <w:right w:val="single" w:sz="4" w:space="0" w:color="000000"/>
      </w:pBdr>
      <w:spacing w:before="100" w:after="100"/>
      <w:textAlignment w:val="center"/>
    </w:pPr>
    <w:rPr/>
  </w:style>
  <w:style w:type="paragraph" w:styleId="xl40">
    <w:name w:val="xl40"/>
    <w:basedOn w:val="Normal"/>
    <w:qFormat/>
    <w:pPr>
      <w:pBdr>
        <w:left w:val="single" w:sz="4" w:space="0" w:color="000000"/>
        <w:bottom w:val="single" w:sz="4" w:space="0" w:color="000000"/>
        <w:right w:val="single" w:sz="4" w:space="0" w:color="000000"/>
      </w:pBdr>
      <w:spacing w:before="100" w:after="100"/>
    </w:pPr>
    <w:rPr/>
  </w:style>
  <w:style w:type="paragraph" w:styleId="xl41">
    <w:name w:val="xl41"/>
    <w:basedOn w:val="Normal"/>
    <w:qFormat/>
    <w:pPr>
      <w:pBdr>
        <w:left w:val="single" w:sz="4" w:space="0" w:color="000000"/>
        <w:bottom w:val="single" w:sz="4" w:space="0" w:color="000000"/>
        <w:right w:val="single" w:sz="4" w:space="0" w:color="000000"/>
      </w:pBdr>
      <w:spacing w:before="100" w:after="100"/>
      <w:jc w:val="center"/>
    </w:pPr>
    <w:rPr/>
  </w:style>
  <w:style w:type="paragraph"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style>
  <w:style w:type="paragraph"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pPr>
    <w:rPr/>
  </w:style>
  <w:style w:type="paragraph" w:styleId="xl44">
    <w:name w:val="xl44"/>
    <w:basedOn w:val="Normal"/>
    <w:qFormat/>
    <w:pPr>
      <w:pBdr>
        <w:top w:val="single" w:sz="4" w:space="0" w:color="000000"/>
        <w:left w:val="single" w:sz="4" w:space="0" w:color="000000"/>
        <w:bottom w:val="single" w:sz="4" w:space="0" w:color="000000"/>
        <w:right w:val="single" w:sz="4" w:space="0" w:color="000000"/>
      </w:pBdr>
      <w:spacing w:before="100" w:after="100"/>
      <w:jc w:val="center"/>
    </w:pPr>
    <w:rPr/>
  </w:style>
  <w:style w:type="paragraph" w:styleId="xl45">
    <w:name w:val="xl45"/>
    <w:basedOn w:val="Normal"/>
    <w:qFormat/>
    <w:pPr>
      <w:pBdr>
        <w:top w:val="single" w:sz="4" w:space="0" w:color="000000"/>
        <w:left w:val="single" w:sz="4" w:space="0" w:color="000000"/>
        <w:bottom w:val="dotted" w:sz="4" w:space="0" w:color="000000"/>
        <w:right w:val="single" w:sz="4" w:space="0" w:color="000000"/>
      </w:pBdr>
      <w:spacing w:before="100" w:after="100"/>
      <w:jc w:val="center"/>
    </w:pPr>
    <w:rPr/>
  </w:style>
  <w:style w:type="paragraph" w:styleId="xl46">
    <w:name w:val="xl46"/>
    <w:basedOn w:val="Normal"/>
    <w:qFormat/>
    <w:pPr>
      <w:pBdr>
        <w:left w:val="single" w:sz="4" w:space="0" w:color="000000"/>
      </w:pBdr>
      <w:spacing w:before="100" w:after="100"/>
      <w:textAlignment w:val="center"/>
    </w:pPr>
    <w:rPr/>
  </w:style>
  <w:style w:type="paragraph" w:styleId="xl47">
    <w:name w:val="xl47"/>
    <w:basedOn w:val="Normal"/>
    <w:qFormat/>
    <w:pPr>
      <w:pBdr>
        <w:right w:val="single" w:sz="4" w:space="0" w:color="000000"/>
      </w:pBdr>
      <w:spacing w:before="100" w:after="100"/>
    </w:pPr>
    <w:rPr/>
  </w:style>
  <w:style w:type="paragraph" w:styleId="xl48">
    <w:name w:val="xl48"/>
    <w:basedOn w:val="Normal"/>
    <w:qFormat/>
    <w:pPr>
      <w:pBdr>
        <w:top w:val="single" w:sz="4" w:space="0" w:color="000000"/>
        <w:left w:val="single" w:sz="4" w:space="0" w:color="000000"/>
        <w:bottom w:val="single" w:sz="4" w:space="0" w:color="000000"/>
      </w:pBdr>
      <w:spacing w:before="100" w:after="100"/>
      <w:textAlignment w:val="center"/>
    </w:pPr>
    <w:rPr/>
  </w:style>
  <w:style w:type="paragraph" w:styleId="xl49">
    <w:name w:val="xl49"/>
    <w:basedOn w:val="Normal"/>
    <w:qFormat/>
    <w:pPr>
      <w:pBdr>
        <w:top w:val="single" w:sz="4" w:space="0" w:color="000000"/>
        <w:bottom w:val="single" w:sz="4" w:space="0" w:color="000000"/>
        <w:right w:val="single" w:sz="4" w:space="0" w:color="000000"/>
      </w:pBdr>
      <w:spacing w:before="100" w:after="100"/>
    </w:pPr>
    <w:rPr/>
  </w:style>
  <w:style w:type="paragraph" w:styleId="BodyTextFirst">
    <w:name w:val="Body Text First"/>
    <w:basedOn w:val="BodyText"/>
    <w:qFormat/>
    <w:pPr>
      <w:spacing w:lineRule="atLeast" w:line="260" w:before="180" w:after="120"/>
      <w:jc w:val="start"/>
    </w:pPr>
    <w:rPr>
      <w:sz w:val="20"/>
      <w:szCs w:val="24"/>
    </w:rPr>
  </w:style>
  <w:style w:type="paragraph" w:styleId="BODYCOPY">
    <w:name w:val="BODY COPY"/>
    <w:basedOn w:val="Normal"/>
    <w:qFormat/>
    <w:pPr/>
    <w:rPr>
      <w:rFonts w:ascii="Arial" w:hAnsi="Arial" w:cs="Arial"/>
      <w:lang w:val="fr-FR"/>
    </w:rPr>
  </w:style>
  <w:style w:type="paragraph" w:styleId="TableText">
    <w:name w:val="Table Text"/>
    <w:basedOn w:val="Normal"/>
    <w:qFormat/>
    <w:pPr>
      <w:spacing w:lineRule="atLeast" w:line="240" w:before="40" w:after="40"/>
    </w:pPr>
    <w:rPr>
      <w:rFonts w:ascii="Arial" w:hAnsi="Arial" w:cs="Arial"/>
      <w:sz w:val="16"/>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2001-03-20T16:35:00Z</dcterms:created>
  <dc:creator>EJF</dc:creator>
  <dc:description/>
  <dc:language>en-CA</dc:language>
  <cp:lastModifiedBy>globalview</cp:lastModifiedBy>
  <cp:lastPrinted>2001-02-02T14:00:00Z</cp:lastPrinted>
  <dcterms:modified xsi:type="dcterms:W3CDTF">2001-03-20T16:35:00Z</dcterms:modified>
  <cp:revision>2</cp:revision>
  <dc:subject>EnronOnline Proposal</dc:subject>
  <dc:title>EnronOnline Proposal</dc:title>
</cp:coreProperties>
</file>