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03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28"/>
        <w:gridCol w:w="2650"/>
        <w:gridCol w:w="2880"/>
        <w:gridCol w:w="6175"/>
      </w:tblGrid>
      <w:tr>
        <w:trPr>
          <w:tblHeader w:val="true"/>
          <w:trHeight w:val="360" w:hRule="atLeast"/>
        </w:trPr>
        <w:tc>
          <w:tcPr>
            <w:tcW w:w="2328" w:type="dxa"/>
            <w:tcBorders>
              <w:top w:val="thickThinLargeGap" w:sz="24" w:space="0" w:color="808080"/>
              <w:start w:val="thickThinLargeGap" w:sz="24" w:space="0" w:color="C0C0C0"/>
              <w:bottom w:val="thickThinLargeGap" w:sz="6" w:space="0" w:color="808080"/>
              <w:end w:val="thickThinLargeGap" w:sz="6" w:space="0" w:color="C0C0C0"/>
            </w:tcBorders>
            <w:shd w:fill="FFFF99" w:val="clear"/>
          </w:tcPr>
          <w:p>
            <w:pPr>
              <w:pStyle w:val="Heading2"/>
              <w:ind w:hanging="0" w:start="0"/>
              <w:rPr/>
            </w:pPr>
            <w:r>
              <w:rPr/>
              <w:t>Contract Item</w:t>
            </w:r>
          </w:p>
        </w:tc>
        <w:tc>
          <w:tcPr>
            <w:tcW w:w="2650" w:type="dxa"/>
            <w:tcBorders>
              <w:top w:val="thickThinLargeGap" w:sz="24" w:space="0" w:color="808080"/>
              <w:start w:val="thickThinLargeGap" w:sz="6" w:space="0" w:color="C0C0C0"/>
              <w:bottom w:val="thickThinLargeGap" w:sz="6" w:space="0" w:color="808080"/>
              <w:end w:val="thickThinLargeGap" w:sz="6" w:space="0" w:color="C0C0C0"/>
            </w:tcBorders>
            <w:shd w:fill="FFFF99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Deal Point</w:t>
            </w:r>
          </w:p>
        </w:tc>
        <w:tc>
          <w:tcPr>
            <w:tcW w:w="2880" w:type="dxa"/>
            <w:tcBorders>
              <w:top w:val="thickThinLargeGap" w:sz="24" w:space="0" w:color="808080"/>
              <w:start w:val="thickThinLargeGap" w:sz="6" w:space="0" w:color="C0C0C0"/>
              <w:bottom w:val="thickThinLargeGap" w:sz="6" w:space="0" w:color="808080"/>
              <w:end w:val="thickThinLargeGap" w:sz="6" w:space="0" w:color="C0C0C0"/>
            </w:tcBorders>
            <w:shd w:fill="FFFF99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Current Contract</w:t>
            </w:r>
          </w:p>
        </w:tc>
        <w:tc>
          <w:tcPr>
            <w:tcW w:w="6175" w:type="dxa"/>
            <w:tcBorders>
              <w:top w:val="thickThinLargeGap" w:sz="24" w:space="0" w:color="808080"/>
              <w:start w:val="thickThinLargeGap" w:sz="6" w:space="0" w:color="C0C0C0"/>
              <w:bottom w:val="thickThinLargeGap" w:sz="6" w:space="0" w:color="808080"/>
              <w:end w:val="thickThinLargeGap" w:sz="24" w:space="0" w:color="C0C0C0"/>
            </w:tcBorders>
            <w:shd w:fill="FFFF99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Accenture Response</w:t>
            </w:r>
          </w:p>
        </w:tc>
      </w:tr>
      <w:tr>
        <w:trPr>
          <w:trHeight w:val="1440" w:hRule="atLeast"/>
        </w:trPr>
        <w:tc>
          <w:tcPr>
            <w:tcW w:w="2328" w:type="dxa"/>
            <w:tcBorders>
              <w:top w:val="thickThinLargeGap" w:sz="6" w:space="0" w:color="808080"/>
              <w:start w:val="thickThinLargeGap" w:sz="24" w:space="0" w:color="C0C0C0"/>
              <w:bottom w:val="thickThinLargeGap" w:sz="6" w:space="0" w:color="808080"/>
              <w:end w:val="thickThinLargeGap" w:sz="6" w:space="0" w:color="C0C0C0"/>
            </w:tcBorders>
            <w:shd w:fill="CCCCCC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Scope of TSH Services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Provision of straight-through processing on behalf of CP’s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Option to expand Hub services via future agreements with EOL</w:t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Current contract version consistent with these points</w:t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24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OK</w:t>
            </w:r>
          </w:p>
        </w:tc>
      </w:tr>
      <w:tr>
        <w:trPr>
          <w:trHeight w:val="1440" w:hRule="atLeast"/>
        </w:trPr>
        <w:tc>
          <w:tcPr>
            <w:tcW w:w="2328" w:type="dxa"/>
            <w:tcBorders>
              <w:top w:val="thickThinLargeGap" w:sz="6" w:space="0" w:color="808080"/>
              <w:start w:val="thickThinLargeGap" w:sz="24" w:space="0" w:color="C0C0C0"/>
              <w:bottom w:val="thickThinLargeGap" w:sz="6" w:space="0" w:color="80808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Fixed Contract Value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$4.1M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Net Present Value/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Annual Payments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$4.1 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Net Present Value/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Quarterly Payments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24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Quarterly Payments after first year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40" w:hRule="atLeast"/>
        </w:trPr>
        <w:tc>
          <w:tcPr>
            <w:tcW w:w="2328" w:type="dxa"/>
            <w:tcBorders>
              <w:top w:val="thickThinLargeGap" w:sz="6" w:space="0" w:color="808080"/>
              <w:start w:val="thickThinLargeGap" w:sz="24" w:space="0" w:color="C0C0C0"/>
              <w:bottom w:val="thickThinLargeGap" w:sz="24" w:space="0" w:color="80808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Revenue Sharing Terms</w:t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30% TSH gross relative to EOL data services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TSH gross = maintenance &amp; usage fees only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30% TSH gross relative to all TSH services supplied to Enron TSH customer 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All TSH fees</w:t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24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 agree that Enron should receive 30% of all TSH revenue related to transaction processing services that facilitate straight-through processing for EOL sourced transactions; excludes revenue attributable to Accenture integration services; must add language to cover single payment in the case of an EOL transaction which results from a posting agreement</w:t>
            </w:r>
          </w:p>
        </w:tc>
      </w:tr>
      <w:tr>
        <w:trPr>
          <w:trHeight w:val="1440" w:hRule="atLeast"/>
        </w:trPr>
        <w:tc>
          <w:tcPr>
            <w:tcW w:w="2328" w:type="dxa"/>
            <w:tcBorders>
              <w:top w:val="thickThinLargeGap" w:sz="6" w:space="0" w:color="808080"/>
              <w:start w:val="thickThinLargeGap" w:sz="24" w:space="0" w:color="C0C0C0"/>
              <w:bottom w:val="thickThinLargeGap" w:sz="24" w:space="0" w:color="80808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Exclusivity:  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Principle</w:t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Exclusive for all EOL transactions.</w:t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Non-exclusive</w:t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24" w:space="0" w:color="C0C0C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40" w:hRule="atLeast"/>
        </w:trPr>
        <w:tc>
          <w:tcPr>
            <w:tcW w:w="2328" w:type="dxa"/>
            <w:tcBorders>
              <w:top w:val="thickThinLargeGap" w:sz="6" w:space="0" w:color="808080"/>
              <w:start w:val="thickThinLargeGap" w:sz="24" w:space="0" w:color="C0C0C0"/>
              <w:bottom w:val="thickThinLargeGap" w:sz="24" w:space="0" w:color="80808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Exclusivity: Grandfathered Deals</w:t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Existing agreements with:</w:t>
            </w:r>
          </w:p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Tradequote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HoustonStreet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Kiodex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Existing and future amended agreements with: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Tradequote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HoustonStreet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Kiodex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24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Given amendments are not competitive with TSH services and subject to penalty clause</w:t>
            </w:r>
          </w:p>
        </w:tc>
      </w:tr>
      <w:tr>
        <w:trPr>
          <w:trHeight w:val="1440" w:hRule="atLeast"/>
        </w:trPr>
        <w:tc>
          <w:tcPr>
            <w:tcW w:w="2328" w:type="dxa"/>
            <w:vMerge w:val="restart"/>
            <w:tcBorders>
              <w:top w:val="thickThinLargeGap" w:sz="6" w:space="0" w:color="808080"/>
              <w:start w:val="thickThinLargeGap" w:sz="24" w:space="0" w:color="C0C0C0"/>
              <w:bottom w:val="thickThinLargeGap" w:sz="6" w:space="0" w:color="C0C0C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Exclusivity: Exception Handling</w:t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Any agreements that can result in EOL transactions being routed to CPs</w:t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</w:rPr>
              <w:t xml:space="preserve">Multi-lateral electronic trading platforms </w:t>
            </w:r>
            <w:r>
              <w:rPr>
                <w:rFonts w:cs="Arial" w:ascii="Arial" w:hAnsi="Arial"/>
                <w:b/>
                <w:bCs/>
              </w:rPr>
              <w:t>only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24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Any agreements that can result in EOL transactions being routed to CPs</w:t>
            </w:r>
          </w:p>
        </w:tc>
      </w:tr>
      <w:tr>
        <w:trPr>
          <w:trHeight w:val="1440" w:hRule="atLeast"/>
        </w:trPr>
        <w:tc>
          <w:tcPr>
            <w:tcW w:w="2328" w:type="dxa"/>
            <w:vMerge w:val="continue"/>
            <w:tcBorders>
              <w:top w:val="thickThinLargeGap" w:sz="6" w:space="0" w:color="808080"/>
              <w:start w:val="thickThinLargeGap" w:sz="24" w:space="0" w:color="C0C0C0"/>
              <w:bottom w:val="thickThinLargeGap" w:sz="6" w:space="0" w:color="C0C0C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650" w:type="dxa"/>
            <w:tcBorders>
              <w:top w:val="dotted" w:sz="4" w:space="0" w:color="000000"/>
              <w:start w:val="thickThinLargeGap" w:sz="6" w:space="0" w:color="C0C0C0"/>
              <w:bottom w:val="dotted" w:sz="4" w:space="0" w:color="00000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Includes Enron affiliates</w:t>
            </w:r>
          </w:p>
        </w:tc>
        <w:tc>
          <w:tcPr>
            <w:tcW w:w="2880" w:type="dxa"/>
            <w:tcBorders>
              <w:top w:val="dotted" w:sz="4" w:space="0" w:color="000000"/>
              <w:start w:val="thickThinLargeGap" w:sz="6" w:space="0" w:color="C0C0C0"/>
              <w:bottom w:val="dotted" w:sz="4" w:space="0" w:color="00000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Excludes Enron affiliates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75" w:type="dxa"/>
            <w:tcBorders>
              <w:top w:val="dotted" w:sz="4" w:space="0" w:color="000000"/>
              <w:start w:val="thickThinLargeGap" w:sz="6" w:space="0" w:color="C0C0C0"/>
              <w:bottom w:val="dotted" w:sz="4" w:space="0" w:color="000000"/>
              <w:end w:val="thickThinLargeGap" w:sz="24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 long as the affiliate intent does not dilute the TSH value or service proposition</w:t>
            </w:r>
          </w:p>
        </w:tc>
      </w:tr>
      <w:tr>
        <w:trPr>
          <w:trHeight w:val="1440" w:hRule="atLeast"/>
        </w:trPr>
        <w:tc>
          <w:tcPr>
            <w:tcW w:w="2328" w:type="dxa"/>
            <w:vMerge w:val="continue"/>
            <w:tcBorders>
              <w:top w:val="thickThinLargeGap" w:sz="6" w:space="0" w:color="808080"/>
              <w:start w:val="thickThinLargeGap" w:sz="24" w:space="0" w:color="C0C0C0"/>
              <w:bottom w:val="thickThinLargeGap" w:sz="6" w:space="0" w:color="C0C0C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Three-tiered penalty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Three-tiered penalty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24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OK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40" w:hRule="atLeast"/>
        </w:trPr>
        <w:tc>
          <w:tcPr>
            <w:tcW w:w="2328" w:type="dxa"/>
            <w:vMerge w:val="continue"/>
            <w:tcBorders>
              <w:top w:val="thickThinLargeGap" w:sz="6" w:space="0" w:color="808080"/>
              <w:start w:val="thickThinLargeGap" w:sz="24" w:space="0" w:color="C0C0C0"/>
              <w:bottom w:val="thickThinLargeGap" w:sz="6" w:space="0" w:color="C0C0C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Penalty if steps 1 &amp; 2 are not successfully executed</w:t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Penalty if steps 1&amp;2 are not attempted</w:t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24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Penalty if steps 1 &amp; 2 are not successfully executed, regardless of Enron’s efforts to accomplish steps 1 &amp; 2</w:t>
            </w:r>
          </w:p>
        </w:tc>
      </w:tr>
      <w:tr>
        <w:trPr>
          <w:trHeight w:val="1440" w:hRule="atLeast"/>
        </w:trPr>
        <w:tc>
          <w:tcPr>
            <w:tcW w:w="2328" w:type="dxa"/>
            <w:vMerge w:val="restart"/>
            <w:tcBorders>
              <w:top w:val="thickThinLargeGap" w:sz="6" w:space="0" w:color="808080"/>
              <w:start w:val="thickThinLargeGap" w:sz="24" w:space="0" w:color="C0C0C0"/>
              <w:bottom w:val="thickThinLargeGap" w:sz="6" w:space="0" w:color="C0C0C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Other Exclusivity Exceptions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Other Exclusivity Exceptions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 requests TSH services directly from Enron (i.e. does not want Accenture involved); Enron remits to Accenture 70% of actual transaction revenues, less Enron’s cost to process transactions; Enron commits to price at going TSH rates</w:t>
            </w:r>
          </w:p>
          <w:p>
            <w:pPr>
              <w:pStyle w:val="BodyText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</w:rPr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 is not signed up for TSH; Enron is allowed to offer services and remits to Accenture 70% of actual transaction revenues, less Enron’s cost to process transactions</w:t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24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OK with changes, except we propose to include language to link to the standard transaction fee previously referenced; language might look like:  Enron remits to Accenture 70% of the greater of a) actual transaction revenues, or 2) agreed upon standard transaction fees, less Enron’s cost to process transactions</w:t>
            </w:r>
          </w:p>
        </w:tc>
      </w:tr>
      <w:tr>
        <w:trPr>
          <w:trHeight w:val="1440" w:hRule="atLeast"/>
        </w:trPr>
        <w:tc>
          <w:tcPr>
            <w:tcW w:w="2328" w:type="dxa"/>
            <w:vMerge w:val="continue"/>
            <w:tcBorders>
              <w:top w:val="thickThinLargeGap" w:sz="6" w:space="0" w:color="808080"/>
              <w:start w:val="thickThinLargeGap" w:sz="24" w:space="0" w:color="C0C0C0"/>
              <w:bottom w:val="thickThinLargeGap" w:sz="6" w:space="0" w:color="C0C0C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BodyText"/>
              <w:snapToGrid w:val="false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/>
                <w:b/>
                <w:bCs/>
                <w:i w:val="false"/>
                <w:iCs w:val="false"/>
              </w:rPr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Products and/or services not conducted through EOL on the Effective Date of this contract.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24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 are satisfied with current contract language minus the Effective Date restriction (i.e., need to cover all current and future “EOL” products and services)</w:t>
            </w:r>
          </w:p>
        </w:tc>
      </w:tr>
      <w:tr>
        <w:trPr>
          <w:trHeight w:val="1440" w:hRule="atLeast"/>
        </w:trPr>
        <w:tc>
          <w:tcPr>
            <w:tcW w:w="2328" w:type="dxa"/>
            <w:vMerge w:val="continue"/>
            <w:tcBorders>
              <w:top w:val="thickThinLargeGap" w:sz="6" w:space="0" w:color="808080"/>
              <w:start w:val="thickThinLargeGap" w:sz="24" w:space="0" w:color="C0C0C0"/>
              <w:bottom w:val="thickThinLargeGap" w:sz="6" w:space="0" w:color="C0C0C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BodyText"/>
              <w:snapToGrid w:val="false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/>
                <w:b/>
                <w:bCs/>
                <w:i w:val="false"/>
                <w:iCs w:val="false"/>
              </w:rPr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 transaction data not transmitted real-time and electronically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24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 electronically transmitted data to CPs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40" w:hRule="atLeast"/>
        </w:trPr>
        <w:tc>
          <w:tcPr>
            <w:tcW w:w="2328" w:type="dxa"/>
            <w:vMerge w:val="continue"/>
            <w:tcBorders>
              <w:top w:val="thickThinLargeGap" w:sz="6" w:space="0" w:color="808080"/>
              <w:start w:val="thickThinLargeGap" w:sz="24" w:space="0" w:color="C0C0C0"/>
              <w:bottom w:val="thickThinLargeGap" w:sz="6" w:space="0" w:color="C0C0C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BodyText"/>
              <w:snapToGrid w:val="false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/>
                <w:b/>
                <w:bCs/>
                <w:i w:val="false"/>
                <w:iCs w:val="false"/>
              </w:rPr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All CP transaction data to any Enron affiliate without invoking the penalty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24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 long as the affiliate intent does not dilute the TSH value or service proposition</w:t>
            </w:r>
          </w:p>
        </w:tc>
      </w:tr>
      <w:tr>
        <w:trPr>
          <w:trHeight w:val="1440" w:hRule="atLeast"/>
        </w:trPr>
        <w:tc>
          <w:tcPr>
            <w:tcW w:w="2328" w:type="dxa"/>
            <w:vMerge w:val="continue"/>
            <w:tcBorders>
              <w:top w:val="thickThinLargeGap" w:sz="6" w:space="0" w:color="808080"/>
              <w:start w:val="thickThinLargeGap" w:sz="24" w:space="0" w:color="C0C0C0"/>
              <w:bottom w:val="thickThinLargeGap" w:sz="6" w:space="0" w:color="C0C0C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BodyText"/>
              <w:snapToGrid w:val="false"/>
              <w:rPr>
                <w:rFonts w:ascii="Arial" w:hAnsi="Arial" w:cs="Arial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/>
                <w:b/>
                <w:bCs/>
                <w:i w:val="false"/>
                <w:iCs w:val="false"/>
              </w:rPr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 transaction data that Enron is legally obligated to deliver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24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Enron must disclose any current legal obligation to deliver; Future legal obligations would invoke termination clause introduced</w:t>
            </w:r>
          </w:p>
        </w:tc>
      </w:tr>
      <w:tr>
        <w:trPr>
          <w:trHeight w:val="1440" w:hRule="atLeast"/>
        </w:trPr>
        <w:tc>
          <w:tcPr>
            <w:tcW w:w="2328" w:type="dxa"/>
            <w:tcBorders>
              <w:top w:val="thickThinLargeGap" w:sz="6" w:space="0" w:color="808080"/>
              <w:start w:val="thickThinLargeGap" w:sz="24" w:space="0" w:color="C0C0C0"/>
              <w:bottom w:val="thickThinLargeGap" w:sz="6" w:space="0" w:color="808080"/>
              <w:end w:val="thickThinLargeGap" w:sz="6" w:space="0" w:color="C0C0C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Access to EOL Information</w:t>
            </w:r>
          </w:p>
        </w:tc>
        <w:tc>
          <w:tcPr>
            <w:tcW w:w="2650" w:type="dxa"/>
            <w:tcBorders>
              <w:top w:val="thickThinLargeGap" w:sz="6" w:space="0" w:color="C0C0C0"/>
              <w:start w:val="thickThinLargeGap" w:sz="6" w:space="0" w:color="C0C0C0"/>
              <w:bottom w:val="thickThinLargeGap" w:sz="24" w:space="0" w:color="C0C0C0"/>
              <w:end w:val="thickThinLargeGap" w:sz="6" w:space="0" w:color="C0C0C0"/>
            </w:tcBorders>
          </w:tcPr>
          <w:p>
            <w:pPr>
              <w:pStyle w:val="BodyTex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Monthly CP specific data/report outlining trade volumes in terms of transactions and value/volume levels for the sole intent of marketing the TSH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</w:r>
          </w:p>
        </w:tc>
        <w:tc>
          <w:tcPr>
            <w:tcW w:w="2880" w:type="dxa"/>
            <w:tcBorders>
              <w:top w:val="thickThinLargeGap" w:sz="6" w:space="0" w:color="C0C0C0"/>
              <w:start w:val="thickThinLargeGap" w:sz="6" w:space="0" w:color="C0C0C0"/>
              <w:bottom w:val="thickThinLargeGap" w:sz="24" w:space="0" w:color="C0C0C0"/>
              <w:end w:val="thickThinLargeGap" w:sz="6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Cannot utilize transaction data in any form for marketing purposes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Quarterly disclosure of top 50 customers pursuant to Enron privacy policy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175" w:type="dxa"/>
            <w:tcBorders>
              <w:top w:val="thickThinLargeGap" w:sz="6" w:space="0" w:color="C0C0C0"/>
              <w:start w:val="thickThinLargeGap" w:sz="6" w:space="0" w:color="C0C0C0"/>
              <w:bottom w:val="thickThinLargeGap" w:sz="24" w:space="0" w:color="C0C0C0"/>
              <w:end w:val="thickThinLargeGap" w:sz="24" w:space="0" w:color="C0C0C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 need to understand what disadvantage Enron has in providing the information originally agreed to; if there is a compelling reason we are open to alternative mechanisms for achieving the same objectives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type w:val="nextPage"/>
      <w:pgSz w:orient="landscape" w:w="15840" w:h="12240"/>
      <w:pgMar w:left="1440" w:right="1440" w:gutter="0" w:header="72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hadow/>
        <w:color w:val="000000"/>
        <w:sz w:val="28"/>
      </w:rPr>
    </w:pPr>
    <w:r>
      <w:rPr>
        <w:rFonts w:cs="Arial" w:ascii="Arial" w:hAnsi="Arial"/>
        <w:b/>
        <w:shadow/>
        <w:color w:val="000000"/>
        <w:sz w:val="28"/>
      </w:rPr>
      <w:t>Enron/Accenture</w:t>
    </w:r>
  </w:p>
  <w:p>
    <w:pPr>
      <w:pStyle w:val="Header"/>
      <w:jc w:val="center"/>
      <w:rPr>
        <w:rFonts w:ascii="Arial" w:hAnsi="Arial" w:cs="Arial"/>
        <w:b/>
        <w:shadow/>
        <w:color w:val="000000"/>
        <w:sz w:val="28"/>
      </w:rPr>
    </w:pPr>
    <w:r>
      <w:rPr>
        <w:rFonts w:cs="Arial" w:ascii="Arial" w:hAnsi="Arial"/>
        <w:b/>
        <w:shadow/>
        <w:color w:val="000000"/>
        <w:sz w:val="28"/>
      </w:rPr>
      <w:t>Transaction Support Hub</w:t>
    </w:r>
  </w:p>
  <w:p>
    <w:pPr>
      <w:pStyle w:val="Header"/>
      <w:jc w:val="center"/>
      <w:rPr>
        <w:rFonts w:ascii="Arial" w:hAnsi="Arial" w:cs="Arial"/>
        <w:b/>
        <w:shadow/>
        <w:color w:val="000000"/>
        <w:sz w:val="28"/>
      </w:rPr>
    </w:pPr>
    <w:r>
      <w:rPr>
        <w:rFonts w:cs="Arial" w:ascii="Arial" w:hAnsi="Arial"/>
        <w:b/>
        <w:shadow/>
        <w:color w:val="000000"/>
        <w:sz w:val="28"/>
      </w:rPr>
      <w:t>Deal Points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character" w:styleId="WW8Num1z0">
    <w:name w:val="WW8Num1z0"/>
    <w:qFormat/>
    <w:rPr>
      <w:rFonts w:ascii="Wingdings" w:hAnsi="Wingdings" w:eastAsia="Times New Roman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eastAsia="Times New Roman" w:cs="Ari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1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2001-06-14T10:49:00Z</dcterms:created>
  <dc:creator>Dainty Duran</dc:creator>
  <dc:description/>
  <dc:language>en-CA</dc:language>
  <cp:lastModifiedBy>Dainty Duran</cp:lastModifiedBy>
  <cp:lastPrinted>2001-06-14T10:54:00Z</cp:lastPrinted>
  <dcterms:modified xsi:type="dcterms:W3CDTF">2001-06-14T13:32:00Z</dcterms:modified>
  <cp:revision>20</cp:revision>
  <dc:subject/>
  <dc:title>Contract Item</dc:title>
</cp:coreProperties>
</file>