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EnronOnline</w:t>
      </w:r>
    </w:p>
    <w:p>
      <w:pPr>
        <w:pStyle w:val="Normal"/>
        <w:rPr/>
      </w:pPr>
      <w:r>
        <w:rPr/>
      </w:r>
    </w:p>
    <w:p>
      <w:pPr>
        <w:pStyle w:val="Normal"/>
        <w:rPr>
          <w:b/>
          <w:bCs/>
          <w:i/>
          <w:i/>
          <w:iCs/>
        </w:rPr>
      </w:pPr>
      <w:r>
        <w:rPr>
          <w:b/>
          <w:bCs/>
          <w:i/>
          <w:iCs/>
        </w:rPr>
        <w:t>What is EnronOnline?</w:t>
      </w:r>
    </w:p>
    <w:p>
      <w:pPr>
        <w:pStyle w:val="Normal"/>
        <w:rPr>
          <w:b/>
          <w:bCs/>
          <w:i/>
          <w:i/>
          <w:iCs/>
        </w:rPr>
      </w:pPr>
      <w:r>
        <w:rPr>
          <w:b/>
          <w:bCs/>
          <w:i/>
          <w:iCs/>
        </w:rPr>
      </w:r>
    </w:p>
    <w:p>
      <w:pPr>
        <w:pStyle w:val="Normal"/>
        <w:rPr/>
      </w:pPr>
      <w:r>
        <w:rPr/>
        <w:t xml:space="preserve">EnronOnline (EOL) is an electronic trading platform that offers free, real-time pricing information for approximately 1,800 products for 13 commodities, including electricity and natural gas.  EOL utilizes e-commerce and Internet technology as an additional way for customers to do business with Enron, in addition to the traditional methods such as telephone and fax.   EOL is a proprietary, or “one-to-many” trading platform. On a “one-to-many” platform, one entity, such as Enron, is the principal to every trade.  </w:t>
      </w:r>
    </w:p>
    <w:p>
      <w:pPr>
        <w:pStyle w:val="Normal"/>
        <w:rPr/>
      </w:pPr>
      <w:r>
        <w:rPr/>
      </w:r>
    </w:p>
    <w:p>
      <w:pPr>
        <w:pStyle w:val="Normal"/>
        <w:rPr/>
      </w:pPr>
      <w:r>
        <w:rPr/>
        <w:t xml:space="preserve">EOL allows buyers and sellers to act on prices that can change by the second.  Buyers or sellers can also see real-time price spreads of both the sell price and the buy price.  </w:t>
      </w:r>
    </w:p>
    <w:p>
      <w:pPr>
        <w:pStyle w:val="Normal"/>
        <w:rPr/>
      </w:pPr>
      <w:r>
        <w:rPr/>
      </w:r>
    </w:p>
    <w:p>
      <w:pPr>
        <w:pStyle w:val="Heading5"/>
        <w:ind w:hanging="0" w:start="0"/>
        <w:rPr/>
      </w:pPr>
      <w:r>
        <w:rPr/>
        <w:t>What EnronOnline Isn’t</w:t>
      </w:r>
    </w:p>
    <w:p>
      <w:pPr>
        <w:pStyle w:val="Normal"/>
        <w:rPr/>
      </w:pPr>
      <w:r>
        <w:rPr/>
      </w:r>
    </w:p>
    <w:p>
      <w:pPr>
        <w:pStyle w:val="Normal"/>
        <w:numPr>
          <w:ilvl w:val="0"/>
          <w:numId w:val="3"/>
        </w:numPr>
        <w:rPr/>
      </w:pPr>
      <w:r>
        <w:rPr/>
        <w:t>EnronOnline is not the market</w:t>
      </w:r>
    </w:p>
    <w:p>
      <w:pPr>
        <w:pStyle w:val="Normal"/>
        <w:rPr/>
      </w:pPr>
      <w:r>
        <w:rPr/>
      </w:r>
    </w:p>
    <w:p>
      <w:pPr>
        <w:pStyle w:val="Normal"/>
        <w:numPr>
          <w:ilvl w:val="0"/>
          <w:numId w:val="3"/>
        </w:numPr>
        <w:rPr/>
      </w:pPr>
      <w:r>
        <w:rPr/>
        <w:t>EnronOnline is not an exchange</w:t>
      </w:r>
    </w:p>
    <w:p>
      <w:pPr>
        <w:pStyle w:val="Normal"/>
        <w:rPr/>
      </w:pPr>
      <w:r>
        <w:rPr/>
      </w:r>
    </w:p>
    <w:p>
      <w:pPr>
        <w:pStyle w:val="Normal"/>
        <w:rPr/>
      </w:pPr>
      <w:r>
        <w:rPr>
          <w:b/>
          <w:bCs/>
          <w:i/>
          <w:iCs/>
        </w:rPr>
        <w:t>How did energy trading work before electronic trading</w:t>
      </w:r>
      <w:r>
        <w:rPr/>
        <w:t>?</w:t>
      </w:r>
    </w:p>
    <w:p>
      <w:pPr>
        <w:pStyle w:val="Normal"/>
        <w:rPr/>
      </w:pPr>
      <w:r>
        <w:rPr/>
      </w:r>
    </w:p>
    <w:p>
      <w:pPr>
        <w:pStyle w:val="Normal"/>
        <w:rPr/>
      </w:pPr>
      <w:r>
        <w:rPr/>
        <w:t>Before electronic trading, a buyer would call Enron to ask about gas prices for each of the next six months.  By the time the seller finished reciting the prices, some prices could have changed.   Electronic trading facilities allow everyone to see real-time ‘bid and offer prices” to make more informed decisions.  Customers now have a choice of either ringing Enron or transacting online.</w:t>
      </w:r>
    </w:p>
    <w:p>
      <w:pPr>
        <w:pStyle w:val="Normal"/>
        <w:rPr/>
      </w:pPr>
      <w:r>
        <w:rPr/>
      </w:r>
    </w:p>
    <w:p>
      <w:pPr>
        <w:pStyle w:val="Heading2"/>
        <w:ind w:hanging="0" w:start="0"/>
        <w:rPr>
          <w:i/>
          <w:i/>
          <w:iCs/>
        </w:rPr>
      </w:pPr>
      <w:r>
        <w:rPr>
          <w:i/>
          <w:iCs/>
        </w:rPr>
        <w:t>The Competition</w:t>
      </w:r>
    </w:p>
    <w:p>
      <w:pPr>
        <w:pStyle w:val="Normal"/>
        <w:rPr>
          <w:i/>
          <w:i/>
          <w:iCs/>
        </w:rPr>
      </w:pPr>
      <w:r>
        <w:rPr>
          <w:i/>
          <w:iCs/>
        </w:rPr>
      </w:r>
    </w:p>
    <w:p>
      <w:pPr>
        <w:pStyle w:val="Normal"/>
        <w:rPr/>
      </w:pPr>
      <w:r>
        <w:rPr/>
        <w:t xml:space="preserve">There are more than 60 players in the market, and they employ significantly different business models.  The 3 business models are proprietary, consortium and independent.  </w:t>
      </w:r>
    </w:p>
    <w:p>
      <w:pPr>
        <w:pStyle w:val="Normal"/>
        <w:rPr/>
      </w:pPr>
      <w:r>
        <w:rPr/>
      </w:r>
    </w:p>
    <w:p>
      <w:pPr>
        <w:pStyle w:val="Normal"/>
        <w:rPr/>
      </w:pPr>
      <w:r>
        <w:rPr/>
        <w:t xml:space="preserve">EnronOnline differs from other online energy marketplaces in several ways:  </w:t>
      </w:r>
    </w:p>
    <w:p>
      <w:pPr>
        <w:pStyle w:val="Normal"/>
        <w:rPr/>
      </w:pPr>
      <w:r>
        <w:rPr/>
      </w:r>
    </w:p>
    <w:p>
      <w:pPr>
        <w:pStyle w:val="Normal"/>
        <w:numPr>
          <w:ilvl w:val="0"/>
          <w:numId w:val="2"/>
        </w:numPr>
        <w:rPr/>
      </w:pPr>
      <w:r>
        <w:rPr/>
        <w:t>First, EnronOnline is the only principal-based, proprietary trading system.  All transactions are directly with Enron;</w:t>
      </w:r>
    </w:p>
    <w:p>
      <w:pPr>
        <w:pStyle w:val="Normal"/>
        <w:numPr>
          <w:ilvl w:val="0"/>
          <w:numId w:val="2"/>
        </w:numPr>
        <w:rPr/>
      </w:pPr>
      <w:r>
        <w:rPr/>
        <w:t xml:space="preserve">Transactions are real-time; </w:t>
      </w:r>
    </w:p>
    <w:p>
      <w:pPr>
        <w:pStyle w:val="Normal"/>
        <w:numPr>
          <w:ilvl w:val="0"/>
          <w:numId w:val="2"/>
        </w:numPr>
        <w:rPr/>
      </w:pPr>
      <w:r>
        <w:rPr/>
        <w:t>Enron maintains a two-way position (buy and sell) on every product; and</w:t>
      </w:r>
    </w:p>
    <w:p>
      <w:pPr>
        <w:pStyle w:val="Normal"/>
        <w:numPr>
          <w:ilvl w:val="0"/>
          <w:numId w:val="2"/>
        </w:numPr>
        <w:rPr/>
      </w:pPr>
      <w:r>
        <w:rPr/>
        <w:t>No transaction fees are charged.</w:t>
      </w:r>
    </w:p>
    <w:p>
      <w:pPr>
        <w:pStyle w:val="Normal"/>
        <w:rPr/>
      </w:pPr>
      <w:r>
        <w:rPr/>
      </w:r>
    </w:p>
    <w:p>
      <w:pPr>
        <w:pStyle w:val="Normal"/>
        <w:rPr/>
      </w:pPr>
      <w:r>
        <w:rPr/>
        <w:t>IntercontinentalExchange (ICE) is a consortium of 13 leading energy trading firms, such as Duke Energy, BP Amoco, Goldman Sachs, Morgan Stanley and others which trade an array of complex financial and physical energy products.  ICE is what’s known as a consortium, or “many-to-many”, platform.  Many-to-many platforms consist of several buyers and several sellers of energy commodities using the system as a meeting place to post their bid and ask prices, and to execute trades.  Altra, a group consisting of Williams, Duke, BP Amoco, Koch Industries and AEP, is also a consortium platform.</w:t>
      </w:r>
    </w:p>
    <w:p>
      <w:pPr>
        <w:pStyle w:val="Normal"/>
        <w:rPr/>
      </w:pPr>
      <w:r>
        <w:rPr/>
      </w:r>
    </w:p>
    <w:p>
      <w:pPr>
        <w:pStyle w:val="Normal"/>
        <w:rPr/>
      </w:pPr>
      <w:r>
        <w:rPr/>
        <w:t xml:space="preserve">Dynegydirect and HoustonStreet are independent trading facilities.  </w:t>
      </w:r>
    </w:p>
    <w:p>
      <w:pPr>
        <w:pStyle w:val="Normal"/>
        <w:rPr/>
      </w:pPr>
      <w:r>
        <w:rPr/>
      </w:r>
    </w:p>
    <w:p>
      <w:pPr>
        <w:pStyle w:val="Normal"/>
        <w:rPr/>
      </w:pPr>
      <w:r>
        <w:rPr/>
      </w:r>
    </w:p>
    <w:p>
      <w:pPr>
        <w:pStyle w:val="Normal"/>
        <w:rPr/>
      </w:pPr>
      <w:r>
        <w:rPr/>
        <w:t xml:space="preserve"> </w:t>
      </w:r>
      <w:r>
        <w:br w:type="page"/>
      </w:r>
    </w:p>
    <w:p>
      <w:pPr>
        <w:pStyle w:val="Normal"/>
        <w:rPr/>
      </w:pPr>
      <w:r>
        <w:rPr/>
      </w:r>
    </w:p>
    <w:p>
      <w:pPr>
        <w:pStyle w:val="Heading4"/>
        <w:ind w:hanging="0" w:start="0"/>
        <w:jc w:val="center"/>
        <w:rPr>
          <w:u w:val="none"/>
        </w:rPr>
      </w:pPr>
      <w:r>
        <w:rPr>
          <w:u w:val="none"/>
        </w:rPr>
        <w:t>The Benefits of EnronOnline</w:t>
      </w:r>
    </w:p>
    <w:p>
      <w:pPr>
        <w:pStyle w:val="Normal"/>
        <w:rPr>
          <w:u w:val="none"/>
        </w:rPr>
      </w:pPr>
      <w:r>
        <w:rPr>
          <w:u w:val="none"/>
        </w:rPr>
      </w:r>
    </w:p>
    <w:p>
      <w:pPr>
        <w:pStyle w:val="Heading2"/>
        <w:ind w:hanging="0" w:start="0"/>
        <w:rPr>
          <w:i/>
          <w:i/>
          <w:iCs/>
        </w:rPr>
      </w:pPr>
      <w:r>
        <w:rPr>
          <w:i/>
          <w:iCs/>
        </w:rPr>
        <w:t>Increased Liquidity</w:t>
      </w:r>
    </w:p>
    <w:p>
      <w:pPr>
        <w:pStyle w:val="Normal"/>
        <w:rPr>
          <w:i/>
          <w:i/>
          <w:iCs/>
        </w:rPr>
      </w:pPr>
      <w:r>
        <w:rPr>
          <w:i/>
          <w:iCs/>
        </w:rPr>
      </w:r>
    </w:p>
    <w:p>
      <w:pPr>
        <w:pStyle w:val="Normal"/>
        <w:rPr/>
      </w:pPr>
      <w:r>
        <w:rPr/>
        <w:t>EnronOnline provides liquidity to the energy market.   Liquidity is present when:</w:t>
      </w:r>
    </w:p>
    <w:p>
      <w:pPr>
        <w:pStyle w:val="Normal"/>
        <w:numPr>
          <w:ilvl w:val="0"/>
          <w:numId w:val="4"/>
        </w:numPr>
        <w:rPr/>
      </w:pPr>
      <w:r>
        <w:rPr/>
        <w:t xml:space="preserve">many suitable counterparties are available; </w:t>
      </w:r>
    </w:p>
    <w:p>
      <w:pPr>
        <w:pStyle w:val="Normal"/>
        <w:numPr>
          <w:ilvl w:val="0"/>
          <w:numId w:val="4"/>
        </w:numPr>
        <w:rPr/>
      </w:pPr>
      <w:r>
        <w:rPr/>
        <w:t>transactions occur without significantly affecting the market price.</w:t>
      </w:r>
    </w:p>
    <w:p>
      <w:pPr>
        <w:pStyle w:val="Normal"/>
        <w:numPr>
          <w:ilvl w:val="0"/>
          <w:numId w:val="4"/>
        </w:numPr>
        <w:rPr/>
      </w:pPr>
      <w:r>
        <w:rPr/>
        <w:t xml:space="preserve">trading volumes are high; </w:t>
      </w:r>
    </w:p>
    <w:p>
      <w:pPr>
        <w:pStyle w:val="Normal"/>
        <w:numPr>
          <w:ilvl w:val="0"/>
          <w:numId w:val="4"/>
        </w:numPr>
        <w:rPr/>
      </w:pPr>
      <w:r>
        <w:rPr/>
        <w:t>market exposure is eliminated quickly and at fair cost.</w:t>
      </w:r>
    </w:p>
    <w:p>
      <w:pPr>
        <w:pStyle w:val="Normal"/>
        <w:rPr/>
      </w:pPr>
      <w:r>
        <w:rPr/>
      </w:r>
    </w:p>
    <w:p>
      <w:pPr>
        <w:pStyle w:val="Normal"/>
        <w:rPr/>
      </w:pPr>
      <w:r>
        <w:rPr/>
        <w:t>The benefits of liquidity to consumers are the following:</w:t>
      </w:r>
    </w:p>
    <w:p>
      <w:pPr>
        <w:pStyle w:val="Normal"/>
        <w:rPr/>
      </w:pPr>
      <w:r>
        <w:rPr/>
      </w:r>
    </w:p>
    <w:p>
      <w:pPr>
        <w:pStyle w:val="Normal"/>
        <w:numPr>
          <w:ilvl w:val="0"/>
          <w:numId w:val="5"/>
        </w:numPr>
        <w:rPr/>
      </w:pPr>
      <w:r>
        <w:rPr/>
        <w:t>difficulty for one trade to affect market prices;</w:t>
      </w:r>
    </w:p>
    <w:p>
      <w:pPr>
        <w:pStyle w:val="Normal"/>
        <w:numPr>
          <w:ilvl w:val="0"/>
          <w:numId w:val="5"/>
        </w:numPr>
        <w:rPr/>
      </w:pPr>
      <w:r>
        <w:rPr/>
        <w:t>more players in the market (therefore, more competition and lower prices);</w:t>
      </w:r>
    </w:p>
    <w:p>
      <w:pPr>
        <w:pStyle w:val="Normal"/>
        <w:numPr>
          <w:ilvl w:val="0"/>
          <w:numId w:val="5"/>
        </w:numPr>
        <w:rPr/>
      </w:pPr>
      <w:r>
        <w:rPr/>
        <w:t>easier for consumers to find a buyer or seller at price they prefer;</w:t>
      </w:r>
    </w:p>
    <w:p>
      <w:pPr>
        <w:pStyle w:val="Normal"/>
        <w:numPr>
          <w:ilvl w:val="0"/>
          <w:numId w:val="5"/>
        </w:numPr>
        <w:rPr/>
      </w:pPr>
      <w:r>
        <w:rPr/>
        <w:t>lower transaction costs</w:t>
      </w:r>
    </w:p>
    <w:p>
      <w:pPr>
        <w:pStyle w:val="Normal"/>
        <w:rPr/>
      </w:pPr>
      <w:r>
        <w:rPr/>
        <w:t xml:space="preserve"> </w:t>
      </w:r>
    </w:p>
    <w:p>
      <w:pPr>
        <w:pStyle w:val="Heading2"/>
        <w:ind w:hanging="0" w:start="0"/>
        <w:rPr>
          <w:i/>
          <w:i/>
          <w:iCs/>
        </w:rPr>
      </w:pPr>
      <w:r>
        <w:rPr>
          <w:i/>
          <w:iCs/>
        </w:rPr>
        <w:t>Increased Price Transparency</w:t>
      </w:r>
    </w:p>
    <w:p>
      <w:pPr>
        <w:pStyle w:val="Normal"/>
        <w:rPr>
          <w:i/>
          <w:i/>
          <w:iCs/>
        </w:rPr>
      </w:pPr>
      <w:r>
        <w:rPr>
          <w:i/>
          <w:iCs/>
        </w:rPr>
      </w:r>
    </w:p>
    <w:p>
      <w:pPr>
        <w:pStyle w:val="BodyText"/>
        <w:rPr>
          <w:sz w:val="24"/>
        </w:rPr>
      </w:pPr>
      <w:r>
        <w:rPr>
          <w:sz w:val="24"/>
        </w:rPr>
        <w:t xml:space="preserve">A key difference between online energy trading and the traditional phone based trading is price transparency.  A customer can view both the bid and the ask prices for a product on an online platform.  The logical consequence of this price discovery is a reduction in the bid ask spread of commodities.  </w:t>
      </w:r>
    </w:p>
    <w:p>
      <w:pPr>
        <w:pStyle w:val="BodyText"/>
        <w:rPr>
          <w:sz w:val="24"/>
        </w:rPr>
      </w:pPr>
      <w:r>
        <w:rPr>
          <w:sz w:val="24"/>
        </w:rPr>
      </w:r>
    </w:p>
    <w:p>
      <w:pPr>
        <w:pStyle w:val="BodyText"/>
        <w:rPr>
          <w:b/>
          <w:bCs/>
          <w:i/>
          <w:i/>
          <w:iCs/>
          <w:sz w:val="24"/>
        </w:rPr>
      </w:pPr>
      <w:r>
        <w:rPr>
          <w:sz w:val="24"/>
        </w:rPr>
        <w:t>Where previously commodity buyers and sellers had only the phone for pricing information, online customers can access real time information on numerous sites and numerous products at a click.  Customers can view market prices and other market information posted at Dynegy Direct, ICE and EnronOnline, among others sites before making decisions. Customers can easily compare competitor pricing on like products or view market scenarios for a variety of products within the same commodity class.</w:t>
      </w:r>
    </w:p>
    <w:p>
      <w:pPr>
        <w:pStyle w:val="Normal"/>
        <w:rPr>
          <w:b/>
          <w:bCs/>
          <w:i/>
          <w:i/>
          <w:iCs/>
          <w:sz w:val="24"/>
        </w:rPr>
      </w:pPr>
      <w:r>
        <w:rPr>
          <w:b/>
          <w:bCs/>
          <w:i/>
          <w:iCs/>
          <w:sz w:val="24"/>
        </w:rPr>
      </w:r>
    </w:p>
    <w:p>
      <w:pPr>
        <w:pStyle w:val="Heading5"/>
        <w:ind w:hanging="0" w:start="0"/>
        <w:rPr/>
      </w:pPr>
      <w:r>
        <w:rPr/>
        <w:t>Narrow Spreads</w:t>
      </w:r>
    </w:p>
    <w:p>
      <w:pPr>
        <w:pStyle w:val="Normal"/>
        <w:rPr/>
      </w:pPr>
      <w:r>
        <w:rPr/>
      </w:r>
    </w:p>
    <w:p>
      <w:pPr>
        <w:pStyle w:val="Normal"/>
        <w:rPr/>
      </w:pPr>
      <w:r>
        <w:rPr/>
        <w:t xml:space="preserve">Exposing prices to customers has caused the spreads – the difference between the buy and sell price – to decrease.   </w:t>
      </w:r>
    </w:p>
    <w:p>
      <w:pPr>
        <w:pStyle w:val="Normal"/>
        <w:rPr/>
      </w:pPr>
      <w:r>
        <w:rPr/>
      </w:r>
    </w:p>
    <w:p>
      <w:pPr>
        <w:pStyle w:val="Normal"/>
        <w:rPr>
          <w:b/>
          <w:bCs/>
          <w:i/>
          <w:i/>
          <w:iCs/>
        </w:rPr>
      </w:pPr>
      <w:r>
        <w:rPr>
          <w:b/>
          <w:bCs/>
          <w:i/>
          <w:iCs/>
        </w:rPr>
        <w:t xml:space="preserve">Speed of business </w:t>
      </w:r>
    </w:p>
    <w:p>
      <w:pPr>
        <w:pStyle w:val="Normal"/>
        <w:rPr>
          <w:b/>
          <w:bCs/>
          <w:i/>
          <w:i/>
          <w:iCs/>
        </w:rPr>
      </w:pPr>
      <w:r>
        <w:rPr>
          <w:b/>
          <w:bCs/>
          <w:i/>
          <w:iCs/>
        </w:rPr>
      </w:r>
    </w:p>
    <w:p>
      <w:pPr>
        <w:pStyle w:val="Normal"/>
        <w:rPr/>
      </w:pPr>
      <w:r>
        <w:rPr/>
        <w:t xml:space="preserve">While the steps associated with trading transactions remain the same, this technology puts information resources at consumer fingertips, rather than relying on phone calls to confirm information and agreements to a deal.  When markets move fast, counterparties don’t have to wait for a trader to call back with price information – price information is displayed right on the customer’s desktop screen.  Electronic trading more closely matches the speed at which commodity prices change.  According to Forrester Research: “A single mouse click is able to replace 20 minutes of chatting on the phone.”  </w:t>
      </w:r>
    </w:p>
    <w:p>
      <w:pPr>
        <w:pStyle w:val="Normal"/>
        <w:rPr/>
      </w:pPr>
      <w:r>
        <w:rPr/>
      </w:r>
    </w:p>
    <w:p>
      <w:pPr>
        <w:pStyle w:val="Normal"/>
        <w:rPr/>
      </w:pPr>
      <w:r>
        <w:rPr/>
      </w:r>
    </w:p>
    <w:tbl>
      <w:tblPr>
        <w:tblW w:w="8670" w:type="dxa"/>
        <w:jc w:val="start"/>
        <w:tblInd w:w="-15" w:type="dxa"/>
        <w:tblLayout w:type="fixed"/>
        <w:tblCellMar>
          <w:top w:w="0" w:type="dxa"/>
          <w:start w:w="0" w:type="dxa"/>
          <w:bottom w:w="0" w:type="dxa"/>
          <w:end w:w="0" w:type="dxa"/>
        </w:tblCellMar>
      </w:tblPr>
      <w:tblGrid>
        <w:gridCol w:w="50"/>
        <w:gridCol w:w="8620"/>
      </w:tblGrid>
      <w:tr>
        <w:trPr/>
        <w:tc>
          <w:tcPr>
            <w:tcW w:w="50" w:type="dxa"/>
            <w:tcBorders/>
            <w:vAlign w:val="center"/>
          </w:tcPr>
          <w:p>
            <w:pPr>
              <w:pStyle w:val="Normal"/>
              <w:snapToGrid w:val="false"/>
              <w:rPr>
                <w:rFonts w:ascii="Arial Unicode MS" w:hAnsi="Arial Unicode MS" w:eastAsia="Arial Unicode MS" w:cs="Arial Unicode MS"/>
              </w:rPr>
            </w:pPr>
            <w:r>
              <w:rPr>
                <w:rFonts w:eastAsia="Arial Unicode MS" w:cs="Arial Unicode MS" w:ascii="Arial Unicode MS" w:hAnsi="Arial Unicode MS"/>
              </w:rPr>
            </w:r>
          </w:p>
        </w:tc>
        <w:tc>
          <w:tcPr>
            <w:tcW w:w="8620" w:type="dxa"/>
            <w:tcBorders/>
          </w:tcPr>
          <w:p>
            <w:pPr>
              <w:pStyle w:val="Normal"/>
              <w:rPr>
                <w:rFonts w:ascii="Arial" w:hAnsi="Arial" w:eastAsia="Arial Unicode MS" w:cs="Arial"/>
                <w:color w:val="000000"/>
              </w:rPr>
            </w:pPr>
            <w:r>
              <w:rPr/>
              <w:t>Today's volatile commodity markets demand split-second decisions. EnronOnline Real-Time Quotes can be integrated with Reuters leading commodity news and real-time exchange data so you can spend more time taking advantage of market information and less time gathering it. Integrate EnronOnline Real-Time Quotes with Microsoft Excel to create custom, real-time commodity option, basis, and strip pricing models. Also, EnronOnline Real-Time Quotes can be charted on an intraday, daily, weekly, monthly or yearly basis using Reuters Graphics</w:t>
            </w:r>
          </w:p>
        </w:tc>
      </w:tr>
    </w:tbl>
    <w:p>
      <w:pPr>
        <w:pStyle w:val="Normal"/>
        <w:rPr/>
      </w:pPr>
      <w:r>
        <w:rPr/>
      </w:r>
    </w:p>
    <w:p>
      <w:pPr>
        <w:pStyle w:val="Heading2"/>
        <w:ind w:hanging="0" w:start="0"/>
        <w:rPr>
          <w:i/>
          <w:i/>
          <w:iCs/>
        </w:rPr>
      </w:pPr>
      <w:r>
        <w:rPr>
          <w:i/>
          <w:iCs/>
        </w:rPr>
        <w:t>Lower Transaction Costs</w:t>
      </w:r>
    </w:p>
    <w:p>
      <w:pPr>
        <w:pStyle w:val="Normal"/>
        <w:rPr>
          <w:i/>
          <w:i/>
          <w:iCs/>
        </w:rPr>
      </w:pPr>
      <w:r>
        <w:rPr>
          <w:i/>
          <w:iCs/>
        </w:rPr>
      </w:r>
    </w:p>
    <w:p>
      <w:pPr>
        <w:pStyle w:val="Normal"/>
        <w:rPr/>
      </w:pPr>
      <w:r>
        <w:rPr/>
        <w:t xml:space="preserve">Online price discovery in liquid markets (like EOL) drives down bid/ask spreads, reducing transaction costs to customers. </w:t>
      </w:r>
    </w:p>
    <w:p>
      <w:pPr>
        <w:pStyle w:val="Normal"/>
        <w:rPr/>
      </w:pPr>
      <w:r>
        <w:rPr/>
      </w:r>
    </w:p>
    <w:p>
      <w:pPr>
        <w:pStyle w:val="Normal"/>
        <w:rPr>
          <w:b/>
          <w:bCs/>
          <w:i/>
          <w:i/>
          <w:iCs/>
        </w:rPr>
      </w:pPr>
      <w:r>
        <w:rPr>
          <w:b/>
          <w:bCs/>
          <w:i/>
          <w:iCs/>
        </w:rPr>
        <w:t>User Friendly</w:t>
      </w:r>
    </w:p>
    <w:p>
      <w:pPr>
        <w:pStyle w:val="Normal"/>
        <w:rPr>
          <w:b/>
          <w:bCs/>
          <w:i/>
          <w:i/>
          <w:iCs/>
        </w:rPr>
      </w:pPr>
      <w:r>
        <w:rPr>
          <w:b/>
          <w:bCs/>
          <w:i/>
          <w:iCs/>
        </w:rPr>
      </w:r>
    </w:p>
    <w:p>
      <w:pPr>
        <w:pStyle w:val="Normal"/>
        <w:rPr/>
      </w:pPr>
      <w:r>
        <w:rPr/>
        <w:t>EnronOnline’s design is user friendly, allowing customers to transact in a few clicks.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i/>
      <w:iCs/>
      <w:u w:val="single"/>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2001-06-28T14:34:00Z</dcterms:created>
  <dc:creator>lisa yoho</dc:creator>
  <dc:description/>
  <dc:language>en-CA</dc:language>
  <cp:lastModifiedBy>lisa yoho</cp:lastModifiedBy>
  <cp:lastPrinted>2001-07-05T15:08:00Z</cp:lastPrinted>
  <dcterms:modified xsi:type="dcterms:W3CDTF">2001-07-06T12:33:00Z</dcterms:modified>
  <cp:revision>16</cp:revision>
  <dc:subject/>
  <dc:title>EnronOnline</dc:title>
</cp:coreProperties>
</file>