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TRANSPORTATION CAPACITY </w:t>
      </w:r>
    </w:p>
    <w:p>
      <w:pPr>
        <w:pStyle w:val="Heading1"/>
        <w:widowControl/>
        <w:spacing w:lineRule="auto" w:line="240" w:before="0" w:after="0"/>
        <w:ind w:hanging="0" w:start="0"/>
        <w:rPr/>
      </w:pPr>
      <w:r>
        <w:rPr>
          <w:rFonts w:cs="Arial Narrow" w:ascii="Arial Narrow" w:hAnsi="Arial Narrow"/>
          <w:bCs/>
          <w:caps w:val="false"/>
          <w:smallCaps w:val="false"/>
          <w:sz w:val="22"/>
        </w:rPr>
        <w:t>GENERAL TERMS AND CONDITIONS ("</w:t>
      </w:r>
      <w:r>
        <w:rPr>
          <w:rFonts w:cs="Arial Narrow" w:ascii="Arial Narrow" w:hAnsi="Arial Narrow"/>
          <w:bCs/>
          <w:caps w:val="false"/>
          <w:smallCaps w:val="false"/>
          <w:sz w:val="22"/>
          <w:u w:val="single"/>
        </w:rPr>
        <w:t>GTC</w:t>
      </w:r>
      <w:r>
        <w:rPr>
          <w:rFonts w:cs="Arial Narrow" w:ascii="Arial Narrow" w:hAnsi="Arial Narrow"/>
          <w:bCs/>
          <w:caps w:val="false"/>
          <w:smallCaps w:val="false"/>
          <w:sz w:val="22"/>
        </w:rPr>
        <w:t>")</w:t>
      </w:r>
    </w:p>
    <w:p>
      <w:pPr>
        <w:pStyle w:val="Heading2"/>
        <w:spacing w:lineRule="auto" w:line="240" w:before="0" w:after="0"/>
        <w:rPr>
          <w:rFonts w:ascii="Arial Narrow" w:hAnsi="Arial Narrow" w:cs="Arial Narrow"/>
          <w:bCs/>
          <w:caps/>
          <w:sz w:val="22"/>
        </w:rPr>
      </w:pPr>
      <w:r>
        <w:rPr>
          <w:rFonts w:cs="Arial Narrow" w:ascii="Arial Narrow" w:hAnsi="Arial Narrow"/>
          <w:bCs/>
          <w:caps/>
          <w:sz w:val="22"/>
        </w:rPr>
      </w:r>
    </w:p>
    <w:p>
      <w:pPr>
        <w:pStyle w:val="Normal"/>
        <w:spacing w:lineRule="auto" w:line="240"/>
        <w:jc w:val="center"/>
        <w:rPr>
          <w:rFonts w:ascii="Arial Narrow" w:hAnsi="Arial Narrow" w:cs="Arial Narrow"/>
          <w:b/>
          <w:bCs/>
          <w:sz w:val="22"/>
        </w:rPr>
      </w:pPr>
      <w:r>
        <w:rPr>
          <w:rFonts w:cs="Arial Narrow" w:ascii="Arial Narrow" w:hAnsi="Arial Narrow"/>
          <w:b/>
          <w:bCs/>
          <w:sz w:val="22"/>
        </w:rPr>
        <w:t>1.  TRANSACTIONS</w:t>
      </w:r>
    </w:p>
    <w:p>
      <w:pPr>
        <w:pStyle w:val="Normal"/>
        <w:spacing w:lineRule="auto" w:line="240"/>
        <w:jc w:val="center"/>
        <w:rPr>
          <w:rFonts w:ascii="Arial Narrow" w:hAnsi="Arial Narrow" w:cs="Arial Narrow"/>
          <w:b/>
          <w:bCs/>
          <w:sz w:val="22"/>
        </w:rPr>
      </w:pPr>
      <w:r>
        <w:rPr>
          <w:rFonts w:cs="Arial Narrow" w:ascii="Arial Narrow" w:hAnsi="Arial Narrow"/>
          <w:b/>
          <w:bCs/>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bCs/>
          <w:sz w:val="22"/>
        </w:rPr>
        <w:t>Daily Contract Capacity</w:t>
      </w:r>
      <w:r>
        <w:rPr>
          <w:rFonts w:cs="Arial Narrow" w:ascii="Arial Narrow" w:hAnsi="Arial Narrow"/>
          <w:sz w:val="22"/>
        </w:rPr>
        <w:t xml:space="preserve"> shall be posted by the </w:t>
      </w:r>
      <w:r>
        <w:rPr>
          <w:rFonts w:cs="Arial Narrow" w:ascii="Arial Narrow" w:hAnsi="Arial Narrow"/>
          <w:b/>
          <w:bCs/>
          <w:sz w:val="22"/>
        </w:rPr>
        <w:t xml:space="preserve">Seller </w:t>
      </w:r>
      <w:r>
        <w:rPr>
          <w:rFonts w:cs="Arial Narrow" w:ascii="Arial Narrow" w:hAnsi="Arial Narrow"/>
          <w:sz w:val="22"/>
        </w:rPr>
        <w:t>and bid on by</w:t>
      </w:r>
      <w:r>
        <w:rPr>
          <w:rFonts w:cs="Arial Narrow" w:ascii="Arial Narrow" w:hAnsi="Arial Narrow"/>
          <w:b/>
          <w:bCs/>
          <w:sz w:val="22"/>
        </w:rPr>
        <w:t xml:space="preserve"> Buyer </w:t>
      </w:r>
      <w:r>
        <w:rPr>
          <w:rFonts w:cs="Arial Narrow" w:ascii="Arial Narrow" w:hAnsi="Arial Narrow"/>
          <w:sz w:val="22"/>
        </w:rPr>
        <w:t xml:space="preserve">in accordance with the </w:t>
      </w:r>
      <w:r>
        <w:rPr>
          <w:rFonts w:cs="Arial Narrow" w:ascii="Arial Narrow" w:hAnsi="Arial Narrow"/>
          <w:b/>
          <w:bCs/>
          <w:sz w:val="22"/>
        </w:rPr>
        <w:t>Reference Pipeline’s</w:t>
      </w:r>
      <w:r>
        <w:rPr>
          <w:rFonts w:cs="Arial Narrow" w:ascii="Arial Narrow" w:hAnsi="Arial Narrow"/>
          <w:sz w:val="22"/>
        </w:rPr>
        <w:t xml:space="preserve"> tariff from the </w:t>
      </w:r>
      <w:r>
        <w:rPr>
          <w:rFonts w:cs="Arial Narrow" w:ascii="Arial Narrow" w:hAnsi="Arial Narrow"/>
          <w:b/>
          <w:bCs/>
          <w:sz w:val="22"/>
        </w:rPr>
        <w:t xml:space="preserve">Primary Receipt Point </w:t>
      </w:r>
      <w:r>
        <w:rPr>
          <w:rFonts w:cs="Arial Narrow" w:ascii="Arial Narrow" w:hAnsi="Arial Narrow"/>
          <w:sz w:val="22"/>
        </w:rPr>
        <w:t xml:space="preserve">to the </w:t>
      </w:r>
      <w:r>
        <w:rPr>
          <w:rFonts w:cs="Arial Narrow" w:ascii="Arial Narrow" w:hAnsi="Arial Narrow"/>
          <w:b/>
          <w:bCs/>
          <w:sz w:val="22"/>
        </w:rPr>
        <w:t xml:space="preserve">Primary Delivery Point </w:t>
      </w:r>
      <w:r>
        <w:rPr>
          <w:rFonts w:cs="Arial Narrow" w:ascii="Arial Narrow" w:hAnsi="Arial Narrow"/>
          <w:sz w:val="22"/>
        </w:rPr>
        <w:t xml:space="preserve">for the </w:t>
      </w:r>
      <w:r>
        <w:rPr>
          <w:rFonts w:cs="Arial Narrow" w:ascii="Arial Narrow" w:hAnsi="Arial Narrow"/>
          <w:b/>
          <w:bCs/>
          <w:sz w:val="22"/>
        </w:rPr>
        <w:t xml:space="preserve">Contract Price </w:t>
      </w:r>
      <w:r>
        <w:rPr>
          <w:rFonts w:cs="Arial Narrow" w:ascii="Arial Narrow" w:hAnsi="Arial Narrow"/>
          <w:sz w:val="22"/>
        </w:rPr>
        <w:t>for the</w:t>
      </w:r>
      <w:r>
        <w:rPr>
          <w:rFonts w:cs="Arial Narrow" w:ascii="Arial Narrow" w:hAnsi="Arial Narrow"/>
          <w:b/>
          <w:bCs/>
          <w:sz w:val="22"/>
        </w:rPr>
        <w:t xml:space="preserve"> Period of Delivery </w:t>
      </w:r>
      <w:r>
        <w:rPr>
          <w:rFonts w:cs="Arial Narrow" w:ascii="Arial Narrow" w:hAnsi="Arial Narrow"/>
          <w:sz w:val="22"/>
        </w:rPr>
        <w:t xml:space="preserve">as provided in each Transaction and set forth on Enron Online  website.  </w:t>
      </w:r>
    </w:p>
    <w:p>
      <w:pPr>
        <w:pStyle w:val="Normal"/>
        <w:spacing w:lineRule="auto" w:line="240"/>
        <w:jc w:val="center"/>
        <w:rPr>
          <w:rFonts w:ascii="Arial Narrow" w:hAnsi="Arial Narrow" w:cs="Arial Narrow"/>
          <w:b/>
          <w:bCs/>
          <w:sz w:val="22"/>
        </w:rPr>
      </w:pPr>
      <w:r>
        <w:rPr>
          <w:rFonts w:cs="Arial Narrow" w:ascii="Arial Narrow" w:hAnsi="Arial Narrow"/>
          <w:b/>
          <w:bCs/>
          <w:sz w:val="22"/>
        </w:rPr>
        <w:t>2.  SELLER’S OBLIGATIONS</w:t>
      </w:r>
    </w:p>
    <w:p>
      <w:pPr>
        <w:pStyle w:val="Normal"/>
        <w:spacing w:lineRule="auto" w:line="240"/>
        <w:jc w:val="center"/>
        <w:rPr>
          <w:rFonts w:ascii="Arial Narrow" w:hAnsi="Arial Narrow" w:cs="Arial Narrow"/>
          <w:b/>
          <w:bCs/>
          <w:sz w:val="22"/>
        </w:rPr>
      </w:pPr>
      <w:r>
        <w:rPr>
          <w:rFonts w:cs="Arial Narrow" w:ascii="Arial Narrow" w:hAnsi="Arial Narrow"/>
          <w:b/>
          <w:bCs/>
          <w:sz w:val="22"/>
        </w:rPr>
      </w:r>
    </w:p>
    <w:p>
      <w:pPr>
        <w:pStyle w:val="Normal"/>
        <w:spacing w:lineRule="auto" w:line="240"/>
        <w:rPr/>
      </w:pPr>
      <w:r>
        <w:rPr>
          <w:rFonts w:cs="Arial Narrow" w:ascii="Arial Narrow" w:hAnsi="Arial Narrow"/>
          <w:b/>
          <w:bCs/>
          <w:sz w:val="22"/>
        </w:rPr>
        <w:tab/>
      </w:r>
      <w:r>
        <w:rPr>
          <w:rFonts w:cs="Arial Narrow" w:ascii="Arial Narrow" w:hAnsi="Arial Narrow"/>
          <w:sz w:val="22"/>
        </w:rPr>
        <w:t>Seller shall post the completed Transaction in accordance with the Reference Pipeline’s tariff procedures for capacity release (the “Pipeline Posting Requirements”).  Buyer shall be named as the pre-arranged shipper under the posting.  The terms of the posting shall be identical to the terms set forth in the completed Transaction.  Seller shall post the Transaction no later than minimum pre-posting time requirements (prior to the start of the Period of Delivery) as set forth in the Pipeline Posting Requirements.  Seller shall provide the Buyer with at least 15 days written notice prior to the actual posting date.</w:t>
      </w:r>
    </w:p>
    <w:p>
      <w:pPr>
        <w:pStyle w:val="Normal"/>
        <w:spacing w:lineRule="auto" w:line="24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bCs/>
          <w:sz w:val="22"/>
        </w:rPr>
      </w:pPr>
      <w:r>
        <w:rPr>
          <w:rFonts w:cs="Arial Narrow" w:ascii="Arial Narrow" w:hAnsi="Arial Narrow"/>
          <w:b/>
          <w:bCs/>
          <w:sz w:val="22"/>
        </w:rPr>
        <w:t>3.  RECALLABILITY AND BIDDING</w:t>
      </w:r>
    </w:p>
    <w:p>
      <w:pPr>
        <w:pStyle w:val="Normal"/>
        <w:spacing w:lineRule="auto" w:line="240"/>
        <w:jc w:val="center"/>
        <w:rPr>
          <w:rFonts w:ascii="Arial Narrow" w:hAnsi="Arial Narrow" w:cs="Arial Narrow"/>
          <w:b/>
          <w:bCs/>
          <w:sz w:val="22"/>
        </w:rPr>
      </w:pPr>
      <w:r>
        <w:rPr>
          <w:rFonts w:cs="Arial Narrow" w:ascii="Arial Narrow" w:hAnsi="Arial Narrow"/>
          <w:b/>
          <w:bCs/>
          <w:sz w:val="22"/>
        </w:rPr>
      </w:r>
    </w:p>
    <w:p>
      <w:pPr>
        <w:pStyle w:val="Normal"/>
        <w:spacing w:lineRule="auto" w:line="240"/>
        <w:rPr>
          <w:rFonts w:ascii="Arial Narrow" w:hAnsi="Arial Narrow" w:cs="Arial Narrow"/>
          <w:sz w:val="22"/>
        </w:rPr>
      </w:pPr>
      <w:r>
        <w:rPr>
          <w:rFonts w:cs="Arial Narrow" w:ascii="Arial Narrow" w:hAnsi="Arial Narrow"/>
          <w:sz w:val="22"/>
        </w:rPr>
        <w:tab/>
        <w:t>All Daily Contract Capacity shall be posted as non-recallable capacity and the Buyer shall be the prearranged shipper.  If the Transaction terms, such as the Period of Delivery and Contract Price, will allow, the Seller will post the Transaction such that the posting is not subject to bidding or an open season.</w:t>
      </w:r>
    </w:p>
    <w:p>
      <w:pPr>
        <w:pStyle w:val="Normal"/>
        <w:spacing w:lineRule="auto" w:line="24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bCs/>
          <w:caps w:val="false"/>
          <w:smallCaps w:val="false"/>
          <w:spacing w:val="0"/>
          <w:sz w:val="22"/>
        </w:rPr>
      </w:pPr>
      <w:r>
        <w:rPr>
          <w:rFonts w:cs="Arial Narrow" w:ascii="Arial Narrow" w:hAnsi="Arial Narrow"/>
          <w:bCs/>
          <w:caps w:val="false"/>
          <w:smallCaps w:val="false"/>
          <w:spacing w:val="0"/>
          <w:sz w:val="22"/>
        </w:rPr>
        <w:t>4.  BUYER’S OBLIGATIONS</w:t>
      </w:r>
    </w:p>
    <w:p>
      <w:pPr>
        <w:pStyle w:val="Normal"/>
        <w:rPr>
          <w:rFonts w:ascii="Arial Narrow" w:hAnsi="Arial Narrow" w:cs="Arial Narrow"/>
          <w:bCs/>
          <w:caps/>
          <w:spacing w:val="0"/>
          <w:sz w:val="22"/>
        </w:rPr>
      </w:pPr>
      <w:r>
        <w:rPr>
          <w:rFonts w:cs="Arial Narrow" w:ascii="Arial Narrow" w:hAnsi="Arial Narrow"/>
          <w:bCs/>
          <w:caps/>
          <w:spacing w:val="0"/>
          <w:sz w:val="22"/>
        </w:rPr>
      </w:r>
    </w:p>
    <w:p>
      <w:pPr>
        <w:pStyle w:val="BodyTextIndent2"/>
        <w:spacing w:lineRule="auto" w:line="240" w:before="0" w:after="0"/>
        <w:rPr/>
      </w:pPr>
      <w:r>
        <w:rPr>
          <w:rFonts w:cs="Times New Roman" w:ascii="Arial Narrow" w:hAnsi="Arial Narrow"/>
          <w:sz w:val="22"/>
        </w:rPr>
        <w:t xml:space="preserve">Buyer shall perform all actions necessary to effectuate a capacity release arrangement from Seller to Buyer which reflects the terms of the Transaction, including without limitation, (i) acknowledge to the Reference Pipeline that Buyer is the prearranged shipper, (ii) bid on the Daily Contract Capacity in accordance with the terms of the Transaction (if the Transaction terms are subject to bidding in accordance with the Pipeline Posting Requirements), (iii) meet all the requirements necessary for a replacement shipper, </w:t>
      </w:r>
      <w:r>
        <w:rPr>
          <w:rFonts w:cs="Times New Roman" w:ascii="Arial Narrow" w:hAnsi="Arial Narrow"/>
          <w:b/>
          <w:bCs/>
          <w:sz w:val="22"/>
        </w:rPr>
        <w:t>including without limitation, all credit requirements</w:t>
      </w:r>
      <w:r>
        <w:rPr>
          <w:rFonts w:cs="Times New Roman" w:ascii="Arial Narrow" w:hAnsi="Arial Narrow"/>
          <w:sz w:val="22"/>
        </w:rPr>
        <w:t>, (iv) perform all bidding and notice requirements in accordance with the timetables as set forth in the Pipeline Posting Requirements, and (v) execute a binding service agreement for the Daily Contract Capacity with the Reference Pipeline.</w:t>
      </w:r>
    </w:p>
    <w:p>
      <w:pPr>
        <w:pStyle w:val="BodyTextIndent2"/>
        <w:spacing w:lineRule="auto" w:line="240" w:before="0" w:after="0"/>
        <w:rPr>
          <w:rFonts w:ascii="Arial Narrow" w:hAnsi="Arial Narrow" w:cs="Times New Roman"/>
          <w:sz w:val="22"/>
        </w:rPr>
      </w:pPr>
      <w:r>
        <w:rPr>
          <w:rFonts w:cs="Times New Roman" w:ascii="Arial Narrow" w:hAnsi="Arial Narrow"/>
          <w:sz w:val="22"/>
        </w:rPr>
      </w:r>
    </w:p>
    <w:p>
      <w:pPr>
        <w:pStyle w:val="Expanded"/>
        <w:keepNext w:val="true"/>
        <w:widowControl/>
        <w:spacing w:lineRule="auto" w:line="240" w:before="0" w:after="0"/>
        <w:rPr>
          <w:rFonts w:ascii="Arial Narrow" w:hAnsi="Arial Narrow" w:cs="Arial Narrow"/>
          <w:bCs/>
          <w:caps w:val="false"/>
          <w:smallCaps w:val="false"/>
          <w:spacing w:val="0"/>
          <w:sz w:val="22"/>
        </w:rPr>
      </w:pPr>
      <w:r>
        <w:rPr>
          <w:rFonts w:cs="Arial Narrow" w:ascii="Arial Narrow" w:hAnsi="Arial Narrow"/>
          <w:bCs/>
          <w:caps w:val="false"/>
          <w:smallCaps w:val="false"/>
          <w:spacing w:val="0"/>
          <w:sz w:val="22"/>
        </w:rPr>
        <w:t>5.  TERMINATION OF TRANSACTION FOR FAILURE OF CONDITION PRECEDENT</w:t>
      </w:r>
    </w:p>
    <w:p>
      <w:pPr>
        <w:pStyle w:val="Normal"/>
        <w:rPr>
          <w:rFonts w:ascii="Arial Narrow" w:hAnsi="Arial Narrow" w:cs="Arial Narrow"/>
          <w:bCs/>
          <w:caps/>
          <w:spacing w:val="0"/>
          <w:sz w:val="22"/>
        </w:rPr>
      </w:pPr>
      <w:r>
        <w:rPr>
          <w:rFonts w:cs="Arial Narrow" w:ascii="Arial Narrow" w:hAnsi="Arial Narrow"/>
          <w:bCs/>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The terms and conditions of the Transaction between Buyer and Seller are conditioned upon the Buyer being awarded the Daily Contract Capacity in accordance with the Pipeline Posting Requirements at the Contract Price specified in the Transaction.  If (i) the posting is subject to bidding, (ii) the fees for the Daily Contract Capacity are bid up to exceed the Contract Price specified in the Transaction and (iii) the Daily Contract Capacity is awarded, in accordance with the Pipeline Posting Requirements, to a third party at a price in excess of the Contract Price, the Transaction between the Seller and Buyer shall immediately terminate and be of no further effect.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bCs/>
          <w:caps w:val="false"/>
          <w:smallCaps w:val="false"/>
          <w:spacing w:val="0"/>
          <w:sz w:val="22"/>
        </w:rPr>
      </w:pPr>
      <w:r>
        <w:rPr>
          <w:rFonts w:cs="Arial Narrow" w:ascii="Arial Narrow" w:hAnsi="Arial Narrow"/>
          <w:bCs/>
          <w:caps w:val="false"/>
          <w:smallCaps w:val="false"/>
          <w:spacing w:val="0"/>
          <w:sz w:val="22"/>
        </w:rPr>
        <w:t>6.  BREACH OF OBLIGATIONS AND REMEDIES.</w:t>
      </w:r>
    </w:p>
    <w:p>
      <w:pPr>
        <w:pStyle w:val="Normal"/>
        <w:rPr>
          <w:rFonts w:ascii="Arial Narrow" w:hAnsi="Arial Narrow" w:cs="Arial Narrow"/>
          <w:bCs/>
          <w:caps/>
          <w:spacing w:val="0"/>
          <w:sz w:val="22"/>
        </w:rPr>
      </w:pPr>
      <w:r>
        <w:rPr>
          <w:rFonts w:cs="Arial Narrow" w:ascii="Arial Narrow" w:hAnsi="Arial Narrow"/>
          <w:bCs/>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If the Seller fails to perform and complete its obligations in accordance with Section 2 of this GTC, the Seller shall pay to Buyer, the product of (i) the Daily Contract Capacity (in MMBtu) times (ii) the positive difference only between the Gas Daily mid-point price for the Receipt Point under the Transaction and the Gas Daily mid-point price for the Delivery Point under the Transaction, plus $0.02 times (iii) the number of Days in the Period of Delivery.  Such payment shall be immediately due and payable and be made by Seller to Buyer within 20 days of Seller’s receipt of Buyer’s invoice thereof.  In addition to the remedies above, the Buyer may, in its sole discretion, by no more than 20 days notice to Seller designate a day no earlier than the day such notice is effective as an early termination date of the Transaction.</w:t>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If the Buyer fails to perform and complete its obligations in accordance with Section 4 of this GTC, Buyer shall pay to Seller, the product of (i) the Daily Contract Capacity (in MMBtu) times (ii) the Contract Price plus $0.02 times (iii) the number of Days in the Period of Delivery.  Such payment shall be immediately due and payable and be made by Buyer to Seller within 20 days of Buyer’s receipt of Seller’s invoice thereof.  In addition to the remedies above, the Seller may, in its sole discretion, by no more than 20 days notice to Buyer designate a day no earlier than the day such notice is effective as an early termination date of the Transaction.</w:t>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particular Transaction or any other Transaction,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jc w:val="center"/>
        <w:rPr>
          <w:rFonts w:ascii="Arial Narrow" w:hAnsi="Arial Narrow" w:cs="Arial Narrow"/>
          <w:b/>
          <w:bCs/>
          <w:sz w:val="22"/>
        </w:rPr>
      </w:pPr>
      <w:r>
        <w:rPr>
          <w:rFonts w:cs="Arial Narrow" w:ascii="Arial Narrow" w:hAnsi="Arial Narrow"/>
          <w:b/>
          <w:bCs/>
          <w:sz w:val="22"/>
        </w:rPr>
        <w:t>7.  COLLATERAL ARRANGEMENTS AND LATE PAYMENT.</w:t>
      </w:r>
    </w:p>
    <w:p>
      <w:pPr>
        <w:pStyle w:val="Normal"/>
        <w:widowControl/>
        <w:spacing w:lineRule="auto" w:line="240"/>
        <w:ind w:firstLine="720" w:end="0"/>
        <w:jc w:val="center"/>
        <w:rPr>
          <w:rFonts w:ascii="Arial Narrow" w:hAnsi="Arial Narrow" w:cs="Arial Narrow"/>
          <w:b/>
          <w:bCs/>
          <w:sz w:val="22"/>
        </w:rPr>
      </w:pPr>
      <w:r>
        <w:rPr>
          <w:rFonts w:cs="Arial Narrow" w:ascii="Arial Narrow" w:hAnsi="Arial Narrow"/>
          <w:b/>
          <w:bCs/>
          <w:sz w:val="22"/>
        </w:rPr>
      </w:r>
    </w:p>
    <w:p>
      <w:pPr>
        <w:pStyle w:val="Normal"/>
        <w:widowControl/>
        <w:spacing w:lineRule="auto" w:line="240"/>
        <w:ind w:firstLine="720" w:end="0"/>
        <w:rPr/>
      </w:pPr>
      <w:r>
        <w:rPr>
          <w:rFonts w:cs="Arial Narrow" w:ascii="Arial Narrow" w:hAnsi="Arial Narrow"/>
          <w:i/>
          <w:iCs/>
          <w:sz w:val="22"/>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hereunder until such time as Counterparty furnishes acceptable payment securities to Enron.] Credit??</w:t>
      </w:r>
      <w:r>
        <w:rPr>
          <w:rFonts w:cs="Arial Narrow" w:ascii="Arial Narrow" w:hAnsi="Arial Narrow"/>
          <w:sz w:val="22"/>
        </w:rPr>
        <w:t xml:space="preserve">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 xml:space="preserve">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 </w:t>
      </w:r>
    </w:p>
    <w:p>
      <w:pPr>
        <w:pStyle w:val="Expanded"/>
        <w:keepNext w:val="true"/>
        <w:widowControl/>
        <w:spacing w:lineRule="auto" w:line="240" w:before="0" w:after="0"/>
        <w:rPr>
          <w:rFonts w:ascii="Arial Narrow" w:hAnsi="Arial Narrow" w:cs="Arial Narrow"/>
          <w:bCs/>
          <w:caps w:val="false"/>
          <w:smallCaps w:val="false"/>
          <w:spacing w:val="0"/>
          <w:sz w:val="22"/>
        </w:rPr>
      </w:pPr>
      <w:r>
        <w:rPr>
          <w:rFonts w:cs="Arial Narrow" w:ascii="Arial Narrow" w:hAnsi="Arial Narrow"/>
          <w:bCs/>
          <w:caps w:val="false"/>
          <w:smallCaps w:val="false"/>
          <w:spacing w:val="0"/>
          <w:sz w:val="22"/>
        </w:rPr>
        <w:t>8.  APPLICABLE LAW.</w:t>
      </w:r>
    </w:p>
    <w:p>
      <w:pPr>
        <w:pStyle w:val="Normal"/>
        <w:rPr>
          <w:rFonts w:ascii="Arial Narrow" w:hAnsi="Arial Narrow" w:cs="Arial Narrow"/>
          <w:bCs/>
          <w:caps/>
          <w:spacing w:val="0"/>
          <w:sz w:val="22"/>
        </w:rPr>
      </w:pPr>
      <w:r>
        <w:rPr>
          <w:rFonts w:cs="Arial Narrow" w:ascii="Arial Narrow" w:hAnsi="Arial Narrow"/>
          <w:bCs/>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Expanded"/>
        <w:widowControl/>
        <w:spacing w:lineRule="auto" w:line="240" w:before="0" w:after="0"/>
        <w:rPr>
          <w:rFonts w:ascii="Arial Narrow" w:hAnsi="Arial Narrow" w:cs="Arial Narrow"/>
          <w:bCs/>
          <w:caps w:val="false"/>
          <w:smallCaps w:val="false"/>
          <w:spacing w:val="0"/>
          <w:sz w:val="22"/>
        </w:rPr>
      </w:pPr>
      <w:r>
        <w:rPr>
          <w:rFonts w:cs="Arial Narrow" w:ascii="Arial Narrow" w:hAnsi="Arial Narrow"/>
          <w:bCs/>
          <w:caps w:val="false"/>
          <w:smallCaps w:val="false"/>
          <w:spacing w:val="0"/>
          <w:sz w:val="22"/>
        </w:rPr>
        <w:t>9.  ARBITRATION.</w:t>
      </w:r>
    </w:p>
    <w:p>
      <w:pPr>
        <w:pStyle w:val="Normal"/>
        <w:rPr>
          <w:rFonts w:ascii="Arial Narrow" w:hAnsi="Arial Narrow" w:cs="Arial Narrow"/>
          <w:bCs/>
          <w:caps/>
          <w:spacing w:val="0"/>
          <w:sz w:val="22"/>
        </w:rPr>
      </w:pPr>
      <w:r>
        <w:rPr>
          <w:rFonts w:cs="Arial Narrow" w:ascii="Arial Narrow" w:hAnsi="Arial Narrow"/>
          <w:bCs/>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bCs/>
          <w:sz w:val="22"/>
        </w:rPr>
      </w:pPr>
      <w:r>
        <w:rPr>
          <w:rFonts w:cs="Arial Narrow" w:ascii="Arial Narrow" w:hAnsi="Arial Narrow"/>
          <w:b/>
          <w:bCs/>
          <w:sz w:val="22"/>
        </w:rPr>
        <w:t>10.  GOVERNMENTAL REGULATIONS.</w:t>
      </w:r>
    </w:p>
    <w:p>
      <w:pPr>
        <w:pStyle w:val="Normal"/>
        <w:keepNext w:val="true"/>
        <w:widowControl/>
        <w:spacing w:lineRule="auto" w:line="240"/>
        <w:jc w:val="center"/>
        <w:rPr>
          <w:rFonts w:ascii="Arial Narrow" w:hAnsi="Arial Narrow" w:cs="Arial Narrow"/>
          <w:b/>
          <w:bCs/>
          <w:sz w:val="22"/>
        </w:rPr>
      </w:pPr>
      <w:r>
        <w:rPr>
          <w:rFonts w:cs="Arial Narrow" w:ascii="Arial Narrow" w:hAnsi="Arial Narrow"/>
          <w:b/>
          <w:bCs/>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bCs/>
          <w:sz w:val="22"/>
        </w:rPr>
      </w:pPr>
      <w:r>
        <w:rPr>
          <w:rFonts w:cs="Arial Narrow" w:ascii="Arial Narrow" w:hAnsi="Arial Narrow"/>
          <w:b/>
          <w:bCs/>
          <w:sz w:val="22"/>
        </w:rPr>
        <w:t>11.  DAMAGES</w:t>
      </w:r>
    </w:p>
    <w:p>
      <w:pPr>
        <w:pStyle w:val="Normal"/>
        <w:keepNext w:val="true"/>
        <w:widowControl/>
        <w:spacing w:lineRule="auto" w:line="240"/>
        <w:jc w:val="center"/>
        <w:rPr>
          <w:rFonts w:ascii="Arial Narrow" w:hAnsi="Arial Narrow" w:cs="Arial Narrow"/>
          <w:b/>
          <w:bCs/>
          <w:sz w:val="22"/>
        </w:rPr>
      </w:pPr>
      <w:r>
        <w:rPr>
          <w:rFonts w:cs="Arial Narrow" w:ascii="Arial Narrow" w:hAnsi="Arial Narrow"/>
          <w:b/>
          <w:bCs/>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bCs/>
          <w:sz w:val="22"/>
        </w:rPr>
      </w:pPr>
      <w:r>
        <w:rPr>
          <w:rFonts w:cs="Arial Narrow" w:ascii="Arial Narrow" w:hAnsi="Arial Narrow"/>
          <w:b/>
          <w:bCs/>
          <w:sz w:val="22"/>
        </w:rPr>
        <w:t>12.  DEFINITIONS.</w:t>
      </w:r>
    </w:p>
    <w:p>
      <w:pPr>
        <w:pStyle w:val="Normal"/>
        <w:widowControl/>
        <w:spacing w:lineRule="auto" w:line="240"/>
        <w:jc w:val="center"/>
        <w:rPr>
          <w:rFonts w:ascii="Arial Narrow" w:hAnsi="Arial Narrow" w:cs="Arial Narrow"/>
          <w:b/>
          <w:bCs/>
          <w:sz w:val="22"/>
        </w:rPr>
      </w:pPr>
      <w:r>
        <w:rPr>
          <w:rFonts w:cs="Arial Narrow" w:ascii="Arial Narrow" w:hAnsi="Arial Narrow"/>
          <w:b/>
          <w:bCs/>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spacing w:lineRule="auto" w:line="240"/>
        <w:ind w:firstLine="720" w:end="0"/>
        <w:rPr/>
      </w:pPr>
      <w:r>
        <w:rPr>
          <w:rFonts w:cs="Arial Narrow" w:ascii="Arial Narrow" w:hAnsi="Arial Narrow"/>
          <w:sz w:val="22"/>
        </w:rPr>
        <w:t>b.</w:t>
        <w:tab/>
      </w: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/mnt/main-storage/datasets/enron-docs/doc/EOL_Capacity_GTC.doc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bCs/>
        <w:sz w:val="24"/>
      </w:rPr>
      <w:t>ROUGH DRAFT</w:t>
    </w:r>
    <w:r>
      <w:rPr>
        <w:sz w:val="24"/>
      </w:rPr>
      <w:t xml:space="preserve">, </w:t>
    </w:r>
    <w:r>
      <w:rPr>
        <w:i/>
        <w:iCs/>
        <w:sz w:val="24"/>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2000-10-30T13:26:00Z</dcterms:created>
  <dc:creator>ECT</dc:creator>
  <dc:description>THIS IS A FORM</dc:description>
  <dc:language>en-CA</dc:language>
  <cp:lastModifiedBy>gnemec</cp:lastModifiedBy>
  <cp:lastPrinted>2000-10-31T15:03:00Z</cp:lastPrinted>
  <dcterms:modified xsi:type="dcterms:W3CDTF">2000-10-31T19:33:00Z</dcterms:modified>
  <cp:revision>59</cp:revision>
  <dc:subject>HPL and _____________</dc:subject>
  <dc:title>Interruptible GTA</dc:title>
</cp:coreProperties>
</file>