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widowControl/>
        <w:ind w:hanging="0" w:start="0"/>
        <w:jc w:val="center"/>
        <w:rPr/>
      </w:pPr>
      <w:r>
        <w:rPr/>
        <w:t>PROPOSED CAPACITY AND ENERGY SALES AGREEMENT</w:t>
      </w:r>
    </w:p>
    <w:p>
      <w:pPr>
        <w:pStyle w:val="Heading9"/>
        <w:widowControl/>
        <w:ind w:hanging="0" w:start="0"/>
        <w:jc w:val="center"/>
        <w:rPr/>
      </w:pPr>
      <w:r>
        <w:rPr/>
        <w:t xml:space="preserve">SELLER: ENRON POWER MARKETING, INC. </w:t>
      </w:r>
    </w:p>
    <w:p>
      <w:pPr>
        <w:pStyle w:val="Heading9"/>
        <w:widowControl/>
        <w:ind w:hanging="0" w:start="0"/>
        <w:jc w:val="center"/>
        <w:rPr/>
      </w:pPr>
      <w:r>
        <w:rPr/>
        <w:t xml:space="preserve"> </w:t>
      </w:r>
      <w:r>
        <w:rPr/>
        <w:t>BUYER: XYZ COMPANY</w:t>
      </w:r>
    </w:p>
    <w:p>
      <w:pPr>
        <w:pStyle w:val="Heading9"/>
        <w:widowControl/>
        <w:ind w:hanging="0" w:start="0"/>
        <w:rPr/>
      </w:pPr>
      <w:r>
        <w:rPr/>
      </w:r>
    </w:p>
    <w:p>
      <w:pPr>
        <w:pStyle w:val="Heading9"/>
        <w:widowControl/>
        <w:ind w:hanging="0" w:start="0"/>
        <w:rPr/>
      </w:pPr>
      <w:r>
        <w:rPr/>
        <w:t>Purpose:</w:t>
      </w:r>
    </w:p>
    <w:p>
      <w:pPr>
        <w:pStyle w:val="Normal"/>
        <w:widowControl/>
        <w:rPr>
          <w:rFonts w:ascii="Times New Roman" w:hAnsi="Times New Roman" w:cs="Times New Roman"/>
          <w:sz w:val="24"/>
        </w:rPr>
      </w:pPr>
      <w:r>
        <w:rPr>
          <w:rFonts w:cs="Times New Roman" w:ascii="Times New Roman" w:hAnsi="Times New Roman"/>
          <w:sz w:val="24"/>
        </w:rPr>
        <w:t xml:space="preserve">This proposal outlines the general terms and conditions under which Enron Power Marketing, Inc. (EPMI) would sell firm capacity and energy to XYZ Company (XYZ). </w:t>
      </w:r>
    </w:p>
    <w:p>
      <w:pPr>
        <w:pStyle w:val="Heading9"/>
        <w:widowControl/>
        <w:ind w:hanging="0" w:start="0"/>
        <w:rPr>
          <w:rFonts w:ascii="Times New Roman" w:hAnsi="Times New Roman" w:cs="Times New Roman"/>
          <w:sz w:val="24"/>
        </w:rPr>
      </w:pPr>
      <w:r>
        <w:rPr>
          <w:rFonts w:cs="Times New Roman"/>
          <w:sz w:val="24"/>
        </w:rPr>
      </w:r>
    </w:p>
    <w:p>
      <w:pPr>
        <w:pStyle w:val="Heading9"/>
        <w:widowControl/>
        <w:ind w:hanging="0" w:start="0"/>
        <w:rPr/>
      </w:pPr>
      <w:r>
        <w:rPr/>
        <w:t>Term:</w:t>
      </w:r>
    </w:p>
    <w:p>
      <w:pPr>
        <w:pStyle w:val="Normal"/>
        <w:rPr>
          <w:rFonts w:ascii="Times New Roman" w:hAnsi="Times New Roman" w:cs="Times New Roman"/>
          <w:sz w:val="24"/>
        </w:rPr>
      </w:pPr>
      <w:r>
        <w:rPr>
          <w:rFonts w:cs="Times New Roman" w:ascii="Times New Roman" w:hAnsi="Times New Roman"/>
          <w:sz w:val="24"/>
        </w:rPr>
        <w:t>June 1, 2000 through September 30, 2000</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t>Capacity/Energy Terms:</w:t>
      </w:r>
    </w:p>
    <w:p>
      <w:pPr>
        <w:pStyle w:val="Normal"/>
        <w:widowControl/>
        <w:rPr>
          <w:rFonts w:ascii="Times New Roman" w:hAnsi="Times New Roman" w:cs="Times New Roman"/>
          <w:sz w:val="24"/>
        </w:rPr>
      </w:pPr>
      <w:r>
        <w:rPr>
          <w:rFonts w:cs="Times New Roman" w:ascii="Times New Roman" w:hAnsi="Times New Roman"/>
          <w:sz w:val="24"/>
        </w:rPr>
        <w:t xml:space="preserve">a.   Quantity: 100MW </w:t>
      </w:r>
    </w:p>
    <w:p>
      <w:pPr>
        <w:pStyle w:val="Heading8"/>
        <w:widowControl/>
        <w:ind w:hanging="0" w:start="0"/>
        <w:rPr>
          <w:b w:val="false"/>
          <w:u w:val="none"/>
        </w:rPr>
      </w:pPr>
      <w:r>
        <w:rPr>
          <w:b w:val="false"/>
          <w:u w:val="none"/>
        </w:rPr>
        <w:t>b.   Heat Rate: 12,000 Btu/kwh</w:t>
      </w:r>
    </w:p>
    <w:p>
      <w:pPr>
        <w:pStyle w:val="Normal"/>
        <w:rPr>
          <w:rFonts w:ascii="Times New Roman" w:hAnsi="Times New Roman" w:cs="Times New Roman"/>
          <w:sz w:val="24"/>
        </w:rPr>
      </w:pPr>
      <w:r>
        <w:rPr>
          <w:rFonts w:cs="Times New Roman" w:ascii="Times New Roman" w:hAnsi="Times New Roman"/>
          <w:sz w:val="24"/>
        </w:rPr>
        <w:t>c.   Variable O &amp; M: $2.50/MWh</w:t>
      </w:r>
    </w:p>
    <w:p>
      <w:pPr>
        <w:pStyle w:val="Normal"/>
        <w:rPr>
          <w:rFonts w:ascii="Times New Roman" w:hAnsi="Times New Roman" w:cs="Times New Roman"/>
          <w:sz w:val="24"/>
        </w:rPr>
      </w:pPr>
      <w:r>
        <w:rPr>
          <w:rFonts w:cs="Times New Roman" w:ascii="Times New Roman" w:hAnsi="Times New Roman"/>
          <w:sz w:val="24"/>
        </w:rPr>
        <w:t>d.   Max starts per year: 50</w:t>
      </w:r>
    </w:p>
    <w:p>
      <w:pPr>
        <w:pStyle w:val="Normal"/>
        <w:numPr>
          <w:ilvl w:val="0"/>
          <w:numId w:val="2"/>
        </w:numPr>
        <w:rPr/>
      </w:pPr>
      <w:r>
        <w:rPr>
          <w:rFonts w:cs="Times New Roman" w:ascii="Times New Roman" w:hAnsi="Times New Roman"/>
          <w:sz w:val="24"/>
        </w:rPr>
        <w:t>Max Megawatt hours per year: 80,000</w:t>
      </w:r>
    </w:p>
    <w:p>
      <w:pPr>
        <w:pStyle w:val="Normal"/>
        <w:numPr>
          <w:ilvl w:val="0"/>
          <w:numId w:val="2"/>
        </w:numPr>
        <w:rPr/>
      </w:pPr>
      <w:r>
        <w:rPr>
          <w:rFonts w:cs="Times New Roman" w:ascii="Times New Roman" w:hAnsi="Times New Roman"/>
          <w:sz w:val="24"/>
        </w:rPr>
        <w:t xml:space="preserve">Minimum notice for dispatch: Day ahead by 9:00 a.m. CPT </w:t>
      </w:r>
    </w:p>
    <w:p>
      <w:pPr>
        <w:pStyle w:val="Normal"/>
        <w:numPr>
          <w:ilvl w:val="0"/>
          <w:numId w:val="2"/>
        </w:numPr>
        <w:rPr/>
      </w:pPr>
      <w:r>
        <w:rPr>
          <w:rFonts w:cs="Times New Roman" w:ascii="Times New Roman" w:hAnsi="Times New Roman"/>
          <w:sz w:val="24"/>
        </w:rPr>
        <w:t>Minimum run time: 16 hours (HE 0700 through HE 2200) Monday through Friday excluding NERC holidays</w:t>
      </w:r>
    </w:p>
    <w:p>
      <w:pPr>
        <w:pStyle w:val="Normal"/>
        <w:numPr>
          <w:ilvl w:val="0"/>
          <w:numId w:val="2"/>
        </w:numPr>
        <w:rPr/>
      </w:pPr>
      <w:r>
        <w:rPr>
          <w:rFonts w:cs="Times New Roman" w:ascii="Times New Roman" w:hAnsi="Times New Roman"/>
          <w:sz w:val="24"/>
        </w:rPr>
        <w:t>Minimum dispatch level: 100 MW</w:t>
      </w:r>
    </w:p>
    <w:p>
      <w:pPr>
        <w:pStyle w:val="Normal"/>
        <w:rPr/>
      </w:pPr>
      <w:r>
        <w:rPr/>
      </w:r>
    </w:p>
    <w:p>
      <w:pPr>
        <w:pStyle w:val="Normal"/>
        <w:rPr>
          <w:rFonts w:ascii="Times New Roman" w:hAnsi="Times New Roman" w:cs="Times New Roman"/>
          <w:b/>
          <w:sz w:val="24"/>
        </w:rPr>
      </w:pPr>
      <w:r>
        <w:rPr>
          <w:rFonts w:cs="Times New Roman" w:ascii="Times New Roman" w:hAnsi="Times New Roman"/>
          <w:b/>
          <w:sz w:val="24"/>
        </w:rPr>
        <w:t>Capacity Delivery Point:</w:t>
      </w:r>
    </w:p>
    <w:p>
      <w:pPr>
        <w:pStyle w:val="Normal"/>
        <w:rPr>
          <w:rFonts w:ascii="Times New Roman" w:hAnsi="Times New Roman" w:cs="Times New Roman"/>
          <w:sz w:val="24"/>
        </w:rPr>
      </w:pPr>
      <w:r>
        <w:rPr>
          <w:rFonts w:cs="Times New Roman" w:ascii="Times New Roman" w:hAnsi="Times New Roman"/>
          <w:sz w:val="24"/>
        </w:rPr>
        <w:t xml:space="preserve">The Wheatland, IN plant busbar within the Cinergy control area </w:t>
      </w:r>
    </w:p>
    <w:p>
      <w:pPr>
        <w:pStyle w:val="Heading8"/>
        <w:widowControl/>
        <w:ind w:hanging="0" w:start="0"/>
        <w:rPr>
          <w:u w:val="none"/>
        </w:rPr>
      </w:pPr>
      <w:r>
        <w:rPr>
          <w:u w:val="none"/>
        </w:rPr>
      </w:r>
    </w:p>
    <w:p>
      <w:pPr>
        <w:pStyle w:val="Normal"/>
        <w:widowControl/>
        <w:rPr/>
      </w:pPr>
      <w:r>
        <w:rPr>
          <w:rFonts w:cs="Times New Roman" w:ascii="Times New Roman" w:hAnsi="Times New Roman"/>
          <w:b/>
          <w:sz w:val="24"/>
        </w:rPr>
        <w:t xml:space="preserve">Capacity Charge: </w:t>
      </w:r>
      <w:r>
        <w:rPr>
          <w:rFonts w:cs="Times New Roman" w:ascii="Times New Roman" w:hAnsi="Times New Roman"/>
          <w:sz w:val="24"/>
        </w:rPr>
        <w:t>Buyer shall pay Seller a lump sum payment for capacity as follows:</w:t>
      </w:r>
    </w:p>
    <w:p>
      <w:pPr>
        <w:pStyle w:val="Normal"/>
        <w:widowControl/>
        <w:rPr>
          <w:rFonts w:ascii="Times New Roman" w:hAnsi="Times New Roman" w:cs="Times New Roman"/>
          <w:sz w:val="24"/>
        </w:rPr>
      </w:pPr>
      <w:r>
        <w:rPr>
          <w:rFonts w:cs="Times New Roman" w:ascii="Times New Roman" w:hAnsi="Times New Roman"/>
          <w:sz w:val="24"/>
        </w:rPr>
        <w:t>$ X,XXX,XXX</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b/>
          <w:sz w:val="24"/>
        </w:rPr>
      </w:pPr>
      <w:r>
        <w:rPr>
          <w:rFonts w:cs="Times New Roman" w:ascii="Times New Roman" w:hAnsi="Times New Roman"/>
          <w:b/>
          <w:sz w:val="24"/>
        </w:rPr>
        <w:t>Fuel Supply:</w:t>
      </w:r>
    </w:p>
    <w:p>
      <w:pPr>
        <w:pStyle w:val="Normal"/>
        <w:widowControl/>
        <w:rPr/>
      </w:pPr>
      <w:r>
        <w:rPr>
          <w:rFonts w:cs="Times New Roman" w:ascii="Times New Roman" w:hAnsi="Times New Roman"/>
          <w:sz w:val="24"/>
        </w:rPr>
        <w:t xml:space="preserve">Buyer shall pay the Tennessee 500 Leg Gas Daily mid-point index price per MMBtu used to generate energy as published on the day capacity is used </w:t>
      </w:r>
      <w:r>
        <w:rPr>
          <w:rFonts w:cs="Times New Roman" w:ascii="Times New Roman" w:hAnsi="Times New Roman"/>
          <w:sz w:val="24"/>
          <w:u w:val="single"/>
        </w:rPr>
        <w:t>plus</w:t>
      </w:r>
      <w:r>
        <w:rPr>
          <w:rFonts w:cs="Times New Roman" w:ascii="Times New Roman" w:hAnsi="Times New Roman"/>
          <w:sz w:val="24"/>
        </w:rPr>
        <w:t xml:space="preserve"> $.21 per MMBtu plus 2.7 % fuel .</w:t>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rFonts w:ascii="Times New Roman" w:hAnsi="Times New Roman" w:cs="Times New Roman"/>
          <w:b/>
          <w:sz w:val="24"/>
        </w:rPr>
      </w:pPr>
      <w:r>
        <w:rPr>
          <w:rFonts w:cs="Times New Roman"/>
          <w:b/>
          <w:sz w:val="24"/>
        </w:rPr>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b/>
        </w:rPr>
      </w:pPr>
      <w:r>
        <w:rPr>
          <w:b/>
        </w:rPr>
        <w:t>Transmission:</w:t>
      </w:r>
    </w:p>
    <w:p>
      <w:pPr>
        <w:pStyle w:val="BodyText2"/>
        <w:widowControl/>
        <w:tabs>
          <w:tab w:val="clear" w:pos="540"/>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t xml:space="preserve">Buyer shall be responsible for providing firm transmission and paying any transmission costs from the Capacity Delivery Point specified above to the ultimate delivery point. </w:t>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sz w:val="24"/>
        </w:rPr>
      </w:pPr>
      <w:r>
        <w:rPr>
          <w:rFonts w:cs="Times New Roman" w:ascii="Times New Roman" w:hAnsi="Times New Roman"/>
          <w:b/>
          <w:sz w:val="24"/>
        </w:rPr>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b/>
          <w:sz w:val="24"/>
        </w:rPr>
        <w:t>Confidentiality:</w:t>
      </w:r>
    </w:p>
    <w:p>
      <w:pPr>
        <w:pStyle w:val="Normal"/>
        <w:widowContro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All terms and conditions of this proposal are confidential between Buyer and Seller and their duly appointed agents. The costs assumed in this proposal are subject to movement during the time period Buyer will evaluate this proposal.  It is not intended to create a binding or enforceable contract or to be complete and all inclusive of the terms of the related transaction.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BodyText21"/>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sz w:val="16"/>
        </w:rPr>
      </w:pPr>
      <w:r>
        <w:rPr>
          <w:sz w:val="16"/>
        </w:rPr>
      </w:r>
    </w:p>
    <w:p>
      <w:pPr>
        <w:pStyle w:val="BodyText21"/>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sz w:val="16"/>
        </w:rPr>
      </w:pPr>
      <w:r>
        <w:rPr>
          <w:sz w:val="16"/>
        </w:rPr>
      </w:r>
    </w:p>
    <w:sectPr>
      <w:headerReference w:type="default" r:id="rId2"/>
      <w:footerReference w:type="default" r:id="rId3"/>
      <w:type w:val="nextPage"/>
      <w:pgSz w:w="12240" w:h="15840"/>
      <w:pgMar w:left="1800" w:right="1800" w:gutter="0" w:header="576"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bl>
    <w:tblPr>
      <w:tblW w:w="8784" w:type="dxa"/>
      <w:jc w:val="start"/>
      <w:tblInd w:w="0" w:type="dxa"/>
      <w:tblLayout w:type="fixed"/>
      <w:tblCellMar>
        <w:top w:w="0" w:type="dxa"/>
        <w:start w:w="72" w:type="dxa"/>
        <w:bottom w:w="0" w:type="dxa"/>
        <w:end w:w="72" w:type="dxa"/>
      </w:tblCellMar>
    </w:tblPr>
    <w:tblGrid>
      <w:gridCol w:w="3888"/>
      <w:gridCol w:w="576"/>
      <w:gridCol w:w="4320"/>
    </w:tblGrid>
    <w:tr>
      <w:trPr/>
      <w:tc>
        <w:tcPr>
          <w:tcW w:w="3888" w:type="dxa"/>
          <w:tcBorders>
            <w:top w:val="single" w:sz="6" w:space="0" w:color="000000"/>
          </w:tcBorders>
        </w:tcPr>
        <w:p>
          <w:pPr>
            <w:pStyle w:val="Footer"/>
            <w:widowControl/>
            <w:rPr>
              <w:i/>
              <w:i/>
            </w:rPr>
          </w:pPr>
          <w:r>
            <w:rPr>
              <w:i/>
            </w:rPr>
            <w:t>ENRON POWER MARKETING, INC.</w:t>
          </w:r>
        </w:p>
      </w:tc>
      <w:tc>
        <w:tcPr>
          <w:tcW w:w="576" w:type="dxa"/>
          <w:tcBorders>
            <w:top w:val="single" w:sz="6" w:space="0" w:color="000000"/>
          </w:tcBorders>
        </w:tcPr>
        <w:p>
          <w:pPr>
            <w:pStyle w:val="Footer"/>
            <w:widowControl/>
            <w:snapToGrid w:val="false"/>
            <w:rPr>
              <w:i/>
              <w:i/>
            </w:rPr>
          </w:pPr>
          <w:r>
            <w:rPr>
              <w:i/>
            </w:rPr>
          </w:r>
        </w:p>
      </w:tc>
      <w:tc>
        <w:tcPr>
          <w:tcW w:w="4320" w:type="dxa"/>
          <w:tcBorders>
            <w:top w:val="single" w:sz="6" w:space="0" w:color="000000"/>
          </w:tcBorders>
        </w:tcPr>
        <w:p>
          <w:pPr>
            <w:pStyle w:val="Footer"/>
            <w:widowControl/>
            <w:jc w:val="end"/>
            <w:rPr>
              <w:i/>
              <w:i/>
            </w:rPr>
          </w:pPr>
          <w:r>
            <w:rPr>
              <w:i/>
            </w:rPr>
            <w:fldChar w:fldCharType="begin"/>
          </w:r>
          <w:r>
            <w:rPr>
              <w:i/>
            </w:rPr>
            <w:instrText xml:space="preserve"> DATE \@"M/d/yyyy" </w:instrText>
          </w:r>
          <w:r>
            <w:rPr>
              <w:i/>
            </w:rPr>
            <w:fldChar w:fldCharType="separate"/>
          </w:r>
          <w:r>
            <w:rPr>
              <w:i/>
            </w:rPr>
            <w:t>9/28/2025</w:t>
          </w:r>
          <w:r>
            <w:rPr>
              <w:i/>
            </w:rPr>
            <w:fldChar w:fldCharType="end"/>
          </w:r>
        </w:p>
      </w:tc>
    </w:tr>
  </w:tbl>
  <w:p>
    <w:pPr>
      <w:pStyle w:val="Footer"/>
      <w:widowControl/>
      <w:ind w:end="360"/>
      <w:rPr>
        <w:b/>
        <w:i/>
        <w:i/>
      </w:rPr>
    </w:pPr>
    <w:r>
      <w:rPr>
        <w:b/>
        <w:i/>
      </w:rPr>
    </w:r>
  </w:p>
  <w:p>
    <w:pPr>
      <w:pStyle w:val="Footer"/>
      <w:widowControl/>
      <w:rPr>
        <w:b/>
        <w:i/>
        <w:i/>
      </w:rPr>
    </w:pPr>
    <w:r>
      <w:rPr>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hd w:fill="0000FF" w:val="clear"/>
      <w:jc w:val="center"/>
      <w:rPr/>
    </w:pPr>
    <w:r>
      <w:rPr>
        <w:b/>
        <w:color w:val="FFFFFF"/>
      </w:rPr>
      <w:t>·  PRICING PROPOSAL</w:t>
    </w:r>
    <w:r>
      <w:rPr>
        <w:color w:val="FFFFFF"/>
      </w:rPr>
      <w:t xml:space="preserve">   </w:t>
    </w:r>
    <w:r>
      <w:rPr>
        <w:b/>
        <w:color w:val="FFFFFF"/>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Letter"/>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sz w:val="24"/>
      <w:u w:val="single"/>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Times New Roman" w:hAnsi="Times New Roman" w:cs="Times New Roman"/>
      <w:b/>
      <w:spacing w:val="0"/>
      <w:u w:val="double"/>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style>
  <w:style w:type="paragraph" w:styleId="Enclosure">
    <w:name w:val="Enclosure"/>
    <w:basedOn w:val="Normal"/>
    <w:next w:val="CcList"/>
    <w:qFormat/>
    <w:pPr>
      <w:keepNext w:val="true"/>
      <w:keepLines/>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clear" w:pos="720"/>
        <w:tab w:val="left" w:pos="360" w:leader="none"/>
      </w:tabs>
    </w:pPr>
    <w:rPr/>
  </w:style>
  <w:style w:type="paragraph" w:styleId="ListNumber">
    <w:name w:val="List Number"/>
    <w:basedOn w:val="BodyText"/>
    <w:qFormat/>
    <w:pPr>
      <w:numPr>
        <w:ilvl w:val="0"/>
        <w:numId w:val="4"/>
      </w:numPr>
      <w:tabs>
        <w:tab w:val="clear" w:pos="720"/>
        <w:tab w:val="left" w:pos="360" w:leader="none"/>
      </w:tabs>
      <w:ind w:hanging="360" w:start="360" w:end="0"/>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40" w:end="0"/>
    </w:pPr>
    <w:rPr>
      <w:rFonts w:ascii="Times New Roman" w:hAnsi="Times New Roman" w:cs="Times New Roman"/>
      <w:spacing w:val="0"/>
      <w:sz w:val="24"/>
    </w:rPr>
  </w:style>
  <w:style w:type="paragraph" w:styleId="BodyText21">
    <w:name w:val="Body Text 21"/>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50" w:end="0"/>
    </w:pPr>
    <w:rPr>
      <w:rFonts w:ascii="Times New Roman" w:hAnsi="Times New Roman" w:cs="Times New Roman"/>
      <w:b/>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2000-04-19T17:25:00Z</dcterms:created>
  <dc:creator>ECT</dc:creator>
  <dc:description/>
  <dc:language>en-CA</dc:language>
  <cp:lastModifiedBy>Edward D. Baughman</cp:lastModifiedBy>
  <cp:lastPrinted>2000-04-26T11:57:00Z</cp:lastPrinted>
  <dcterms:modified xsi:type="dcterms:W3CDTF">2000-04-26T14:28:00Z</dcterms:modified>
  <cp:revision>9</cp:revision>
  <dc:subject/>
  <dc:title>August 11, 1998</dc:title>
</cp:coreProperties>
</file>