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Response to questions from Kim Bruno at the Federal Energy Regulatory Commission</w:t>
      </w:r>
    </w:p>
    <w:p>
      <w:pPr>
        <w:pStyle w:val="Normal"/>
        <w:jc w:val="both"/>
        <w:rPr>
          <w:color w:val="000000"/>
          <w:u w:val="single"/>
        </w:rPr>
      </w:pPr>
      <w:r>
        <w:rPr>
          <w:color w:val="000000"/>
          <w:u w:val="single"/>
        </w:rPr>
      </w:r>
    </w:p>
    <w:p>
      <w:pPr>
        <w:pStyle w:val="Normal"/>
        <w:autoSpaceDE w:val="false"/>
        <w:spacing w:lineRule="atLeast" w:line="240"/>
        <w:ind w:firstLine="720" w:end="0"/>
        <w:jc w:val="both"/>
        <w:rPr>
          <w:color w:val="000000"/>
        </w:rPr>
      </w:pPr>
      <w:r>
        <w:rPr>
          <w:color w:val="000000"/>
        </w:rPr>
        <w:t xml:space="preserve">EnronOnline is an electronic trading platform that offers free, real-time pricing information for approximately 1,800 products for 13 commodities, including electricity and natural gas.  Enron Online utilizes e-commerce and Internet technology to conduct trading business that previously took place on the telephone and by fax.   Enron Online is a proprietary, or “one-to-many” trading platform. On a “one-to-many” platform, one entity, such as Enron, is the principal to every trade (unlike a “broker” type platform).  </w:t>
      </w:r>
    </w:p>
    <w:p>
      <w:pPr>
        <w:pStyle w:val="Normal"/>
        <w:autoSpaceDE w:val="false"/>
        <w:spacing w:lineRule="atLeast" w:line="240"/>
        <w:jc w:val="both"/>
        <w:rPr>
          <w:color w:val="000000"/>
        </w:rPr>
      </w:pPr>
      <w:r>
        <w:rPr>
          <w:color w:val="000000"/>
        </w:rPr>
      </w:r>
    </w:p>
    <w:p>
      <w:pPr>
        <w:pStyle w:val="Normal"/>
        <w:ind w:firstLine="720" w:end="0"/>
        <w:jc w:val="both"/>
        <w:rPr>
          <w:color w:val="000000"/>
        </w:rPr>
      </w:pPr>
      <w:r>
        <w:rPr>
          <w:color w:val="000000"/>
        </w:rPr>
        <w:t>Enron Online allows buyers and sellers to act on prices that can change by the second.  Buyers or sellers can also see real-time price spreads of both the sell price and the buy price.  For example, on the telephone, a buyer previously would call to ask about gas prices for each of the next six months, but by the time the trader finished reciting the prices, some prices could have changed.  Enron Online allows counterparties to see the ‘bid and offer prices” all the time to make more informed decisions.</w:t>
      </w:r>
    </w:p>
    <w:p>
      <w:pPr>
        <w:pStyle w:val="Normal"/>
        <w:ind w:firstLine="720" w:end="0"/>
        <w:jc w:val="both"/>
        <w:rPr/>
      </w:pPr>
      <w:r>
        <w:rPr/>
      </w:r>
    </w:p>
    <w:p>
      <w:pPr>
        <w:pStyle w:val="Normal"/>
        <w:ind w:firstLine="720" w:end="0"/>
        <w:jc w:val="both"/>
        <w:rPr/>
      </w:pPr>
      <w:r>
        <w:rPr/>
        <w:t xml:space="preserve">The energy products offered on Enron Online are subject to federal oversight as follows: </w:t>
      </w:r>
    </w:p>
    <w:p>
      <w:pPr>
        <w:pStyle w:val="Normal"/>
        <w:jc w:val="both"/>
        <w:rPr/>
      </w:pPr>
      <w:r>
        <w:rPr/>
      </w:r>
    </w:p>
    <w:p>
      <w:pPr>
        <w:pStyle w:val="Normal"/>
        <w:ind w:firstLine="720" w:end="0"/>
        <w:jc w:val="both"/>
        <w:rPr/>
      </w:pPr>
      <w:r>
        <w:rPr/>
        <w:t xml:space="preserve">The Commodity Futures Trading Commission (“CFTC”) has enforcement authority over physical transactions on Enron Online to police for potential manipulation.  The Federal Energy Regulatory Commission has regulatory authority over physical natural gas and electricity sales for resale.  </w:t>
      </w:r>
    </w:p>
    <w:p>
      <w:pPr>
        <w:pStyle w:val="BodyTextIndent"/>
        <w:rPr/>
      </w:pPr>
      <w:r>
        <w:rPr/>
      </w:r>
    </w:p>
    <w:p>
      <w:pPr>
        <w:pStyle w:val="FootnoteText"/>
        <w:ind w:firstLine="720" w:end="0"/>
        <w:jc w:val="both"/>
        <w:rPr>
          <w:sz w:val="24"/>
        </w:rPr>
      </w:pPr>
      <w:r>
        <w:rPr>
          <w:sz w:val="24"/>
        </w:rPr>
        <w:t xml:space="preserve">The CFTC has anti-fraud and anti-manipulation enforcement jurisdiction over financially settled derivatives (swaps and options).  Moreover, pursuant to the Commodity Exchange Act (“CEA”), Enron can only trade derivatives with counterparties that qualify as sophisticated according to such rules.  Such transactions are permitted as long as both parties are Eligible Contract Participants (“ECPs”)(generally, corporations, partnerships and other entities that meet net worth or asset tests).  </w:t>
      </w:r>
    </w:p>
    <w:p>
      <w:pPr>
        <w:pStyle w:val="Normal"/>
        <w:jc w:val="both"/>
        <w:rPr>
          <w:sz w:val="24"/>
        </w:rPr>
      </w:pPr>
      <w:r>
        <w:rPr>
          <w:sz w:val="24"/>
        </w:rPr>
      </w:r>
    </w:p>
    <w:p>
      <w:pPr>
        <w:pStyle w:val="Normal"/>
        <w:ind w:firstLine="720" w:end="0"/>
        <w:jc w:val="both"/>
        <w:rPr/>
      </w:pPr>
      <w:r>
        <w:rPr/>
        <w:t xml:space="preserve">Enron Online is a proprietary, bilateral trading platform on which Enron is a principal to every trade.  As such, Enron Online is not a “trading facility” as defined under the CFMA.  As a proprietary platform, Enron Online uses Internet technology to provide another method of communication between Enron and its customers. </w:t>
      </w:r>
    </w:p>
    <w:p>
      <w:pPr>
        <w:pStyle w:val="Normal"/>
        <w:jc w:val="both"/>
        <w:rPr>
          <w:color w:val="000000"/>
        </w:rPr>
      </w:pPr>
      <w:r>
        <w:rPr>
          <w:color w:val="000000"/>
        </w:rPr>
      </w:r>
    </w:p>
    <w:p>
      <w:pPr>
        <w:pStyle w:val="BodyTextIndent"/>
        <w:rPr>
          <w:color w:val="000000"/>
        </w:rPr>
      </w:pPr>
      <w:r>
        <w:rPr>
          <w:color w:val="000000"/>
        </w:rPr>
        <w:t>Enron Online transactions are sent to different “back office” groups depending on the type of commodity transacted.  For example, the group that handles U.S. gas settlements is not the same group as the one handling Australian Power.  The transactions are transmitted to the appropriate back office utilizing a “bridge”:  a process that is capable of communicating transaction information into the variety of systems that Enron operates.  The back office systems at Enron use transaction information as an input into various functions, such as invoicing, preparation of financial statements, risk management and credit.  These back office systems are used to track transactions from all sources, including Enron Online, the telephone, other trading systems, etc.  Information is maintained on these systems according to accounting and regulatory rules, regardless of the source of the transaction.</w:t>
      </w:r>
    </w:p>
    <w:p>
      <w:pPr>
        <w:pStyle w:val="Normal"/>
        <w:jc w:val="both"/>
        <w:rPr>
          <w:color w:val="000000"/>
        </w:rPr>
      </w:pPr>
      <w:r>
        <w:rPr>
          <w:color w:val="000000"/>
        </w:rPr>
      </w:r>
    </w:p>
    <w:p>
      <w:pPr>
        <w:pStyle w:val="Normal"/>
        <w:ind w:firstLine="720" w:end="0"/>
        <w:jc w:val="both"/>
        <w:rPr/>
      </w:pPr>
      <w:r>
        <w:rPr>
          <w:color w:val="000000"/>
        </w:rPr>
        <w:t>There are now several options for viewing historical pricing/transaction data from Enron Online.  Reuters recently began showing quotes from Enron Online (</w:t>
      </w:r>
      <w:hyperlink r:id="rId2">
        <w:r>
          <w:rPr>
            <w:rStyle w:val="Hyperlink"/>
            <w:color w:val="000000"/>
            <w:szCs w:val="20"/>
          </w:rPr>
          <w:t>http://about.reuters.com/enrononlinequotes/</w:t>
        </w:r>
      </w:hyperlink>
      <w:r>
        <w:rPr>
          <w:color w:val="000000"/>
          <w:szCs w:val="20"/>
        </w:rPr>
        <w:t xml:space="preserve">), which also provides customers with the ability to reference historical prices from the date at which they acquire access.  </w:t>
      </w:r>
      <w:r>
        <w:rPr>
          <w:color w:val="000000"/>
        </w:rPr>
        <w:t>In addition, Enron Online provides a number of online charts for products, which graphically depict historical transaction prices.  Customers can also run reports to see their own transactions and download the results into an Excel spreadsheet.</w:t>
      </w:r>
    </w:p>
    <w:p>
      <w:pPr>
        <w:pStyle w:val="Normal"/>
        <w:keepLines/>
        <w:autoSpaceDE w:val="false"/>
        <w:spacing w:lineRule="atLeast" w:line="240"/>
        <w:ind w:start="1440" w:end="0"/>
        <w:jc w:val="both"/>
        <w:rPr>
          <w:color w:val="000000"/>
          <w:szCs w:val="20"/>
        </w:rPr>
      </w:pPr>
      <w:r>
        <w:rPr>
          <w:color w:val="000000"/>
          <w:szCs w:val="20"/>
        </w:rPr>
      </w:r>
    </w:p>
    <w:p>
      <w:pPr>
        <w:pStyle w:val="Normal"/>
        <w:jc w:val="both"/>
        <w:rPr>
          <w:color w:val="000000"/>
        </w:rPr>
      </w:pPr>
      <w:r>
        <w:rPr>
          <w:color w:val="000000"/>
        </w:rPr>
        <w:tab/>
        <w:t xml:space="preserve">Enron, as the principal to all purchases and sales on Enron Online, requires counterparties to be creditworthy.  In addition, Enron’s risk management process is required to be approved by the Enron Board of Directors, according to Securities Exchange Act regulations as a publicly held company.  Enron’s risk policies are provided in Enron’s publicly available [[10-Q??]]_______ audited financial statements filed on a quarterly and annual basis with the SEC.  </w:t>
      </w:r>
    </w:p>
    <w:p>
      <w:pPr>
        <w:pStyle w:val="Normal"/>
        <w:ind w:firstLine="720" w:end="0"/>
        <w:jc w:val="both"/>
        <w:rPr>
          <w:color w:val="000000"/>
        </w:rPr>
      </w:pPr>
      <w:r>
        <w:rPr>
          <w:color w:val="000000"/>
        </w:rPr>
      </w:r>
    </w:p>
    <w:p>
      <w:pPr>
        <w:pStyle w:val="Normal"/>
        <w:autoSpaceDE w:val="false"/>
        <w:spacing w:lineRule="atLeast" w:line="240"/>
        <w:ind w:firstLine="720" w:end="0"/>
        <w:jc w:val="both"/>
        <w:rPr>
          <w:color w:val="000000"/>
          <w:szCs w:val="20"/>
        </w:rPr>
      </w:pPr>
      <w:r>
        <w:rPr>
          <w:color w:val="000000"/>
          <w:szCs w:val="20"/>
        </w:rPr>
        <w:t>Enron maintains a separate risk management group that has oversight over all transactions done by all Enron trading units and that ensures compliance with the risk management policies.  This group has a separate reporting line directly to the office of the Chairman of Enron Corp. and has the authority to instruct the suspension of transactions in order to ensure that trading limits are not exceeded.  In addition, every counterparty of Enron has to clear a credit check before they can transact through Enron Online.  The Credit Risk Management group ("CRM") will approve which products (if any) each counterparty can transact on Enron Online (i.e. financial gas, physical gas, physical power etc.).  CRM will also approve a counterparty for a specific credit limit and tenor limit.   Counterparties can only transact on approved products.  Every transaction is passed through an electronic credit check to assure that the credit limits and tenor limits are not violated.  The credit limit checks utilize a potential exposure calculation to take into account future price volatility.  CRM monitors transaction flow on Enron Online every day.  CRM also receive electronic alerts when customers approach credit limits or breach credit limits.  No further transactions are executed unless CRM is sufficiently satisfied that the credit position has been mitigated such that credit limit is still available.</w:t>
      </w:r>
    </w:p>
    <w:p>
      <w:pPr>
        <w:pStyle w:val="Normal"/>
        <w:autoSpaceDE w:val="false"/>
        <w:spacing w:lineRule="atLeast" w:line="240"/>
        <w:ind w:firstLine="720" w:end="0"/>
        <w:jc w:val="both"/>
        <w:rPr>
          <w:color w:val="000000"/>
          <w:szCs w:val="20"/>
        </w:rPr>
      </w:pPr>
      <w:r>
        <w:rPr>
          <w:color w:val="000000"/>
          <w:szCs w:val="20"/>
        </w:rPr>
      </w:r>
    </w:p>
    <w:p>
      <w:pPr>
        <w:pStyle w:val="Normal"/>
        <w:autoSpaceDE w:val="false"/>
        <w:spacing w:lineRule="atLeast" w:line="240"/>
        <w:ind w:firstLine="720" w:end="0"/>
        <w:jc w:val="both"/>
        <w:rPr>
          <w:color w:val="000000"/>
          <w:szCs w:val="20"/>
        </w:rPr>
      </w:pPr>
      <w:r>
        <w:rPr>
          <w:color w:val="000000"/>
          <w:szCs w:val="20"/>
        </w:rPr>
        <w:t>Enron Online serves as a deal capture system that captures the data necessary to feed to our risk management system.  Enron Online does not feed settlement systems or credit systems.  It does, however, automate our deal capture system, which improves the data feeds to our settlement and credit systems.</w:t>
      </w:r>
    </w:p>
    <w:p>
      <w:pPr>
        <w:pStyle w:val="Normal"/>
        <w:autoSpaceDE w:val="false"/>
        <w:spacing w:lineRule="atLeast" w:line="240"/>
        <w:jc w:val="both"/>
        <w:rPr>
          <w:color w:val="000000"/>
          <w:szCs w:val="20"/>
        </w:rPr>
      </w:pPr>
      <w:r>
        <w:rPr>
          <w:color w:val="000000"/>
          <w:szCs w:val="20"/>
        </w:rPr>
      </w:r>
    </w:p>
    <w:p>
      <w:pPr>
        <w:pStyle w:val="Normal"/>
        <w:ind w:firstLine="720" w:end="0"/>
        <w:jc w:val="both"/>
        <w:rPr/>
      </w:pPr>
      <w:r>
        <w:rPr>
          <w:color w:val="000000"/>
          <w:szCs w:val="20"/>
        </w:rPr>
        <w:t xml:space="preserve">It is the responsibility of Enron’s counterparties to assure they are comfortable with Enron’s credit quality before transacting on Enron Online or via the telephone or broker box.  Enron regularly provides guaranties or other collateral as required by counterparties.  Enron negotiates bilateral Master Agreements that require collateral in the event of major swings in credit exposure.  </w:t>
      </w:r>
      <w:r>
        <w:rPr>
          <w:color w:val="000000"/>
        </w:rPr>
        <w:t>While Enron’s counterparties have their own specific credit requirements, Enron is also rated by the Standard and Poor and Moody’s services.</w:t>
      </w:r>
    </w:p>
    <w:p>
      <w:pPr>
        <w:pStyle w:val="Normal"/>
        <w:ind w:firstLine="720" w:end="0"/>
        <w:jc w:val="both"/>
        <w:rPr>
          <w:color w:val="000000"/>
        </w:rPr>
      </w:pPr>
      <w:r>
        <w:rPr>
          <w:color w:val="000000"/>
        </w:rPr>
      </w:r>
    </w:p>
    <w:p>
      <w:pPr>
        <w:pStyle w:val="Normal"/>
        <w:ind w:firstLine="720" w:end="0"/>
        <w:jc w:val="both"/>
        <w:rPr/>
      </w:pPr>
      <w:r>
        <w:rPr>
          <w:color w:val="000000"/>
          <w:szCs w:val="20"/>
        </w:rPr>
        <w:t xml:space="preserve">Credit risk is one of the most critical risks in the power and gas industry and Enron proactively prepares for and mitigates credit risks.  The industry as a whole has improved greatly in monitoring and controlling credit risks.  </w:t>
      </w:r>
      <w:r>
        <w:rPr>
          <w:color w:val="000000"/>
        </w:rPr>
        <w:t>In addition, while there is no industry “standard” agreement, Enron was a leader in the industry in recognizing that credit risk exists and in implementing strict credit and risk policies and controls.  See attached article written by Mark Haedicke……..</w:t>
      </w:r>
    </w:p>
    <w:p>
      <w:pPr>
        <w:pStyle w:val="Normal"/>
        <w:jc w:val="both"/>
        <w:rPr>
          <w:color w:val="000000"/>
        </w:rPr>
      </w:pPr>
      <w:r>
        <w:rPr>
          <w:color w:val="000000"/>
        </w:rPr>
      </w:r>
    </w:p>
    <w:p>
      <w:pPr>
        <w:pStyle w:val="Normal"/>
        <w:ind w:firstLine="720" w:end="0"/>
        <w:jc w:val="both"/>
        <w:rPr>
          <w:color w:val="000000"/>
        </w:rPr>
      </w:pPr>
      <w:r>
        <w:rPr>
          <w:color w:val="000000"/>
        </w:rPr>
        <w:t>Finally, the Enron Online platform does not use cookies, so customers are not required to have cookies enabled.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bCs/>
    </w:rPr>
  </w:style>
  <w:style w:type="paragraph" w:styleId="BodyText">
    <w:name w:val="Body Text"/>
    <w:basedOn w:val="Normal"/>
    <w:pPr>
      <w:autoSpaceDE w:val="false"/>
      <w:spacing w:lineRule="atLeast" w:line="240"/>
    </w:pPr>
    <w:rPr>
      <w:color w:val="00000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jc w:val="both"/>
    </w:pPr>
    <w:rPr/>
  </w:style>
  <w:style w:type="paragraph" w:styleId="FootnoteText">
    <w:name w:val="footnote text"/>
    <w:basedOn w:val="Normal"/>
    <w:pPr/>
    <w:rPr>
      <w:sz w:val="20"/>
      <w:szCs w:val="20"/>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about.reuters.com/enrononlinequotes/"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2001-06-22T14:39:00Z</dcterms:created>
  <dc:creator>cnicola</dc:creator>
  <dc:description/>
  <dc:language>en-CA</dc:language>
  <cp:lastModifiedBy>lisa yoho</cp:lastModifiedBy>
  <dcterms:modified xsi:type="dcterms:W3CDTF">2001-06-22T14:39:00Z</dcterms:modified>
  <cp:revision>2</cp:revision>
  <dc:subject/>
  <dc:title>ATTORNEY CLIENT PRIVILEGED</dc:title>
</cp:coreProperties>
</file>