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Response to oral questions dated 6/11/01 from Kim Bruno at FERC</w:t>
      </w:r>
    </w:p>
    <w:p>
      <w:pPr>
        <w:pStyle w:val="Normal"/>
        <w:jc w:val="both"/>
        <w:rPr>
          <w:u w:val="single"/>
        </w:rPr>
      </w:pPr>
      <w:r>
        <w:rPr>
          <w:u w:val="single"/>
        </w:rPr>
      </w:r>
    </w:p>
    <w:p>
      <w:pPr>
        <w:pStyle w:val="Normal"/>
        <w:rPr/>
      </w:pPr>
      <w:r>
        <w:rPr/>
        <w:t xml:space="preserve">The energy products offered on EOL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EOL to police for potential manipulation.  The Federal Energy Regulatory Commission has regulatory authority over physical natural gas and electricity sales for resale.  </w:t>
      </w:r>
    </w:p>
    <w:p>
      <w:pPr>
        <w:pStyle w:val="BodyTextIndent"/>
        <w:ind w:start="0" w:end="0"/>
        <w:rPr/>
      </w:pPr>
      <w:r>
        <w:rPr/>
      </w:r>
    </w:p>
    <w:p>
      <w:pPr>
        <w:pStyle w:val="FootnoteText"/>
        <w:rPr>
          <w:sz w:val="24"/>
        </w:rPr>
      </w:pPr>
      <w:r>
        <w:rPr>
          <w:sz w:val="24"/>
        </w:rPr>
        <w:t xml:space="preserve">The CFTC has anti-fraud and anti-manipulation enforcement jurisdiction over financially settled derivatives (swaps and options).  Moreover, pursuant to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rPr>
          <w:sz w:val="24"/>
        </w:rPr>
      </w:pPr>
      <w:r>
        <w:rPr>
          <w:sz w:val="24"/>
        </w:rPr>
      </w:r>
    </w:p>
    <w:p>
      <w:pPr>
        <w:pStyle w:val="Normal"/>
        <w:rPr/>
      </w:pPr>
      <w:r>
        <w:rPr/>
        <w:t xml:space="preserve">EOL is a proprietary, bilateral trading platform on which Enron is a principal to every trade.  As such, EOL is not a “trading facility” as defined under the CFMA.  As a proprietary platform, EOL uses Internet technology to provide another method of communication between Enron and its customers.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2001-06-22T13:27:00Z</dcterms:created>
  <dc:creator>lisa yoho</dc:creator>
  <dc:description/>
  <dc:language>en-CA</dc:language>
  <cp:lastModifiedBy>lisa yoho</cp:lastModifiedBy>
  <cp:lastPrinted>2001-06-22T11:11:00Z</cp:lastPrinted>
  <dcterms:modified xsi:type="dcterms:W3CDTF">2001-06-22T13:49:00Z</dcterms:modified>
  <cp:revision>6</cp:revision>
  <dc:subject/>
  <dc:title>Talking Points on Jurisdictional Issues of Energy Transactions</dc:title>
</cp:coreProperties>
</file>