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center"/>
        <w:rPr>
          <w:rFonts w:ascii="Arial" w:hAnsi="Arial" w:cs="Arial"/>
          <w:b/>
          <w:sz w:val="20"/>
        </w:rPr>
      </w:pPr>
      <w:r>
        <w:rPr>
          <w:rFonts w:cs="Arial" w:ascii="Arial" w:hAnsi="Arial"/>
          <w:b/>
          <w:sz w:val="20"/>
        </w:rPr>
        <w:t xml:space="preserve">ENRON CANADA CORP. </w:t>
      </w:r>
    </w:p>
    <w:p>
      <w:pPr>
        <w:pStyle w:val="Normal"/>
        <w:jc w:val="center"/>
        <w:rPr>
          <w:rFonts w:ascii="Arial" w:hAnsi="Arial" w:cs="Arial"/>
          <w:b/>
          <w:sz w:val="20"/>
        </w:rPr>
      </w:pPr>
      <w:r>
        <w:rPr>
          <w:rFonts w:cs="Arial" w:ascii="Arial" w:hAnsi="Arial"/>
          <w:b/>
          <w:sz w:val="20"/>
        </w:rPr>
        <w:t>GAS - GENERAL TERMS AND CONDITIONS ("GTC")</w:t>
      </w:r>
    </w:p>
    <w:p>
      <w:pPr>
        <w:pStyle w:val="Normal"/>
        <w:jc w:val="both"/>
        <w:rPr>
          <w:rFonts w:ascii="Arial" w:hAnsi="Arial" w:cs="Arial"/>
          <w:sz w:val="20"/>
        </w:rPr>
      </w:pPr>
      <w:r>
        <w:rPr>
          <w:rFonts w:cs="Arial" w:ascii="Arial" w:hAnsi="Arial"/>
          <w:sz w:val="20"/>
        </w:rPr>
        <w:t>Until a relevant master agreement is executed between you ("Counterparty") and Enron Canada Corp. ("Enron Canada"), this GTC will set forth the general terms and conditions governing all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jc w:val="both"/>
        <w:rPr/>
      </w:pPr>
      <w:r>
        <w:rPr>
          <w:rFonts w:cs="Arial" w:ascii="Arial" w:hAnsi="Arial"/>
          <w:b/>
          <w:sz w:val="20"/>
          <w:u w:val="single"/>
        </w:rPr>
        <w:t>1. Quantity Obligations</w:t>
      </w:r>
      <w:r>
        <w:rPr>
          <w:rFonts w:cs="Arial" w:ascii="Arial" w:hAnsi="Arial"/>
          <w:sz w:val="20"/>
        </w:rPr>
        <w:t>. All gas shall be nominated at the Delivery Point on a firm basis. If on any day a party fails to deliver or receive the DCQ, then such occurrence shall constitute a "</w:t>
      </w:r>
      <w:r>
        <w:rPr>
          <w:rFonts w:cs="Arial" w:ascii="Arial" w:hAnsi="Arial"/>
          <w:sz w:val="20"/>
          <w:u w:val="single"/>
        </w:rPr>
        <w:t>Default</w:t>
      </w:r>
      <w:r>
        <w:rPr>
          <w:rFonts w:cs="Arial" w:ascii="Arial" w:hAnsi="Arial"/>
          <w:sz w:val="20"/>
        </w:rPr>
        <w:t>" and the "</w:t>
      </w:r>
      <w:r>
        <w:rPr>
          <w:rFonts w:cs="Arial" w:ascii="Arial" w:hAnsi="Arial"/>
          <w:sz w:val="20"/>
          <w:u w:val="single"/>
        </w:rPr>
        <w:t>Default Quantity</w:t>
      </w:r>
      <w:r>
        <w:rPr>
          <w:rFonts w:cs="Arial" w:ascii="Arial" w:hAnsi="Arial"/>
          <w:sz w:val="20"/>
        </w:rPr>
        <w:t xml:space="preserve">" shall be the numerical difference between the DCQ and the amount of gas actually delivered or taken. Upon Default, the defaulting party shall pay to the other party an amount equal to the </w:t>
      </w:r>
      <w:r>
        <w:rPr>
          <w:rFonts w:cs="Arial" w:ascii="Arial" w:hAnsi="Arial"/>
          <w:sz w:val="20"/>
          <w:u w:val="single"/>
        </w:rPr>
        <w:t>sum</w:t>
      </w:r>
      <w:r>
        <w:rPr>
          <w:rFonts w:cs="Arial" w:ascii="Arial" w:hAnsi="Arial"/>
          <w:sz w:val="20"/>
        </w:rPr>
        <w:t xml:space="preserve"> of (i) the product of the Default Quantity multiplied by the Replacement Price Differential </w:t>
      </w:r>
      <w:r>
        <w:rPr>
          <w:rFonts w:cs="Arial" w:ascii="Arial" w:hAnsi="Arial"/>
          <w:sz w:val="20"/>
          <w:u w:val="single"/>
        </w:rPr>
        <w:t>plus</w:t>
      </w:r>
      <w:r>
        <w:rPr>
          <w:rFonts w:cs="Arial" w:ascii="Arial" w:hAnsi="Arial"/>
          <w:sz w:val="20"/>
        </w:rPr>
        <w:t xml:space="preserve"> (ii) liquidated damages equal to $0.15 multiplied by the energy content of the Default Quantity </w:t>
      </w:r>
      <w:r>
        <w:rPr>
          <w:rFonts w:cs="Arial" w:ascii="Arial" w:hAnsi="Arial"/>
          <w:sz w:val="20"/>
          <w:u w:val="single"/>
        </w:rPr>
        <w:t>plus</w:t>
      </w:r>
      <w:r>
        <w:rPr>
          <w:rFonts w:cs="Arial" w:ascii="Arial" w:hAnsi="Arial"/>
          <w:sz w:val="20"/>
        </w:rPr>
        <w:t xml:space="preserve"> (iii) all pipeline penalties incurred. "</w:t>
      </w:r>
      <w:r>
        <w:rPr>
          <w:rFonts w:cs="Arial" w:ascii="Arial" w:hAnsi="Arial"/>
          <w:sz w:val="20"/>
          <w:u w:val="single"/>
        </w:rPr>
        <w:t>Replacement Price Differential</w:t>
      </w:r>
      <w:r>
        <w:rPr>
          <w:rFonts w:cs="Arial" w:ascii="Arial" w:hAnsi="Arial"/>
          <w:sz w:val="20"/>
        </w:rPr>
        <w:t xml:space="preserve">" means (i) in the event of a Seller's Default, the positive difference obtained by subtracting the Contract Price from the cost, including transportation and other basis differential adjustments, to Buyer, acting reasonably, in an incremental, arm's length purchase(s) from a third party, to replace the Default Quantity for such day and (ii) in the event of a Buyer's Default, the positive difference obtained by subtracting from the Contract Price the price obtained by Seller, acting reasonably, in an incremental, arms length sale(s) to a third party of a quantity equal to the Default Quantity for such day, including transportation and other basis differential adjustments. </w:t>
      </w:r>
    </w:p>
    <w:p>
      <w:pPr>
        <w:pStyle w:val="Normal"/>
        <w:jc w:val="both"/>
        <w:rPr>
          <w:rFonts w:ascii="Arial" w:hAnsi="Arial" w:cs="Arial"/>
          <w:b/>
          <w:sz w:val="20"/>
          <w:u w:val="single"/>
        </w:rPr>
      </w:pPr>
      <w:r>
        <w:rPr>
          <w:rFonts w:cs="Arial" w:ascii="Arial" w:hAnsi="Arial"/>
          <w:b/>
          <w:sz w:val="20"/>
          <w:u w:val="single"/>
        </w:rPr>
        <w:t>2. Securities Representation.</w:t>
      </w:r>
      <w:r>
        <w:rPr>
          <w:rFonts w:cs="Arial" w:ascii="Arial" w:hAnsi="Arial"/>
          <w:b/>
          <w:sz w:val="20"/>
        </w:rPr>
        <w:t xml:space="preserve">  </w:t>
      </w:r>
      <w:r>
        <w:rPr>
          <w:rFonts w:cs="Arial" w:ascii="Arial" w:hAnsi="Arial"/>
          <w:sz w:val="20"/>
        </w:rPr>
        <w:t>Each party, with respect to itself, hereby represents and warrants to the other party, that (a) each transaction completed hereunder shall constitute a "commodity contract" or an "OTC derivative" or such other similar term as defined pursuant to the securities legislation in force in Alberta or British Columbia or pursuant to the securities legislation of any other jurisdictions having application to the transaction and (b) it is a "Qualified Party" within the meaning of paragraph 9.1 of the Alberta Securities Commission Order Doc.#394043 and paragraph 1.1 of the draft British Columbia Securities Commission Blanket Order BOR#91-501, in either case, as amended, restated, replaced or re-enacted from time to time, and pursuant to any equivalent order or other enactment made pursuant to the securities laws of Alberta, British Columbia or any other jurisdictions having application to such transaction.</w:t>
      </w:r>
    </w:p>
    <w:p>
      <w:pPr>
        <w:pStyle w:val="Normal"/>
        <w:jc w:val="both"/>
        <w:rPr/>
      </w:pPr>
      <w:r>
        <w:rPr>
          <w:rFonts w:cs="Arial" w:ascii="Arial" w:hAnsi="Arial"/>
          <w:b/>
          <w:sz w:val="20"/>
          <w:u w:val="single"/>
        </w:rPr>
        <w:t>3. Early Termination</w:t>
      </w:r>
      <w:r>
        <w:rPr>
          <w:rFonts w:cs="Arial" w:ascii="Arial" w:hAnsi="Arial"/>
          <w:sz w:val="20"/>
        </w:rPr>
        <w:t>. If a Triggering Event (defined below) occurs with respect to either party (such party, the "</w:t>
      </w:r>
      <w:r>
        <w:rPr>
          <w:rFonts w:cs="Arial" w:ascii="Arial" w:hAnsi="Arial"/>
          <w:sz w:val="20"/>
          <w:u w:val="single"/>
        </w:rPr>
        <w:t>Affected Party</w:t>
      </w:r>
      <w:r>
        <w:rPr>
          <w:rFonts w:cs="Arial" w:ascii="Arial" w:hAnsi="Arial"/>
          <w:sz w:val="20"/>
        </w:rPr>
        <w:t>") during a Period of Delivery, the other party (such party, the "</w:t>
      </w:r>
      <w:r>
        <w:rPr>
          <w:rFonts w:cs="Arial" w:ascii="Arial" w:hAnsi="Arial"/>
          <w:sz w:val="20"/>
          <w:u w:val="single"/>
        </w:rPr>
        <w:t>Notifying Party</w:t>
      </w:r>
      <w:r>
        <w:rPr>
          <w:rFonts w:cs="Arial" w:ascii="Arial" w:hAnsi="Arial"/>
          <w:sz w:val="20"/>
        </w:rPr>
        <w:t>") may upon three days written notice to the first party establish a date on which any or all transactions governed by a GTC will terminate ("</w:t>
      </w:r>
      <w:r>
        <w:rPr>
          <w:rFonts w:cs="Arial" w:ascii="Arial" w:hAnsi="Arial"/>
          <w:sz w:val="20"/>
          <w:u w:val="single"/>
        </w:rPr>
        <w:t>Early Termination Date</w:t>
      </w:r>
      <w:r>
        <w:rPr>
          <w:rFonts w:cs="Arial" w:ascii="Arial" w:hAnsi="Arial"/>
          <w:sz w:val="20"/>
        </w:rPr>
        <w:t>") and withhold any payments then due under all such transactions. The Notifying Party shall calculate its damages, including its associated costs and counsel's fees and expenses, resulting from the termination of the selected transactions (the "</w:t>
      </w:r>
      <w:r>
        <w:rPr>
          <w:rFonts w:cs="Arial" w:ascii="Arial" w:hAnsi="Arial"/>
          <w:sz w:val="20"/>
          <w:u w:val="single"/>
        </w:rPr>
        <w:t>Termination Payment</w:t>
      </w:r>
      <w:r>
        <w:rPr>
          <w:rFonts w:cs="Arial" w:ascii="Arial" w:hAnsi="Arial"/>
          <w:sz w:val="20"/>
        </w:rPr>
        <w:t>"). The Termination Payment will be determined by (i) comparing the value of (a) the remaining Period of Delivery, DCQ and Contract Price under each such transaction had it not been terminated to (b) the average of quotes from three bona-fide third-party energy swap dealers’ quotes for equivalent quantities for the remaining Period of Delivery and (ii) ascertaining the associated costs and counsel’s fees. The Termination Payment for each terminated transaction shall be calculated effective the Early Termination Date.  If, for any transaction, the amount is positive, the Notifying Party incurred a gain and if the amount is negative, the Notifying Party incurred a loss.  The gains and losses for each terminated transaction shall be netted.  The Notifying Party shall provide the Affected Party a written statement of the amount of the Termination Payment. If the Termination Payment constitutes a gain to the Notifying Party, the Notifying Party shall pay the amount of such gain to the Affected Party, and, if the Termination Payment constitutes a loss to the Notifying Party, the Affected Party shall pay the amount of such loss to the Notifying Party. The Termination Payment shall be made to the appropriate party within 10 days of receipt of such statement. At the time for payment of any Termination Payment, each party shall pay to the other party all additional amounts payable by it pursuant hereto. "</w:t>
      </w:r>
      <w:r>
        <w:rPr>
          <w:rFonts w:cs="Arial" w:ascii="Arial" w:hAnsi="Arial"/>
          <w:sz w:val="20"/>
          <w:u w:val="single"/>
        </w:rPr>
        <w:t>Triggering Event</w:t>
      </w:r>
      <w:r>
        <w:rPr>
          <w:rFonts w:cs="Arial" w:ascii="Arial" w:hAnsi="Arial"/>
          <w:sz w:val="20"/>
        </w:rPr>
        <w:t xml:space="preserve">" means, with respect to the Affected Party: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deliver or take the DCQ for a cumulative period of 10 or more days in a 3 month period. </w:t>
      </w:r>
    </w:p>
    <w:p>
      <w:pPr>
        <w:pStyle w:val="Normal"/>
        <w:jc w:val="both"/>
        <w:rPr/>
      </w:pPr>
      <w:r>
        <w:rPr>
          <w:rFonts w:cs="Arial" w:ascii="Arial" w:hAnsi="Arial"/>
          <w:b/>
          <w:sz w:val="20"/>
          <w:u w:val="single"/>
        </w:rPr>
        <w:t>4. Other Events</w:t>
      </w:r>
      <w:r>
        <w:rPr>
          <w:rFonts w:cs="Arial" w:ascii="Arial" w:hAnsi="Arial"/>
          <w:sz w:val="20"/>
        </w:rPr>
        <w:t>. If a party's activities become subject to regulation of any kind to a different extent than that existing on the date hereof and such regulation either (i) renders a transaction unenforceable or (ii) materially adversely affects the business (financial or otherwise) of such party, then either party, in the case of (i) above, or only such party whose business is materially adversely affected, in the case of (ii) above, shall have the right (as if it were a Notifying Party) to declare an Early Termination Date in accordance herewith; provided, the appropriate party shall pay the Termination Payment calculated by the Notifying Party as above provided.</w:t>
      </w:r>
    </w:p>
    <w:p>
      <w:pPr>
        <w:pStyle w:val="Normal"/>
        <w:jc w:val="both"/>
        <w:rPr/>
      </w:pPr>
      <w:r>
        <w:rPr>
          <w:rFonts w:cs="Arial" w:ascii="Arial" w:hAnsi="Arial"/>
          <w:b/>
          <w:sz w:val="20"/>
          <w:u w:val="single"/>
        </w:rPr>
        <w:t>5. Payments</w:t>
      </w:r>
      <w:r>
        <w:rPr>
          <w:rFonts w:cs="Arial" w:ascii="Arial" w:hAnsi="Arial"/>
          <w:sz w:val="20"/>
        </w:rPr>
        <w:t>. By the 20th day of each month, Seller shall provide Buyer a written statement covering the quantity of gas delivered, the energy content thereof, the Contract Price, any applicable goods and services tax and the total amount due for the preceding month. Within 10 days of the request of either party, the other party shall provide, to the extent it has a legal right of access thereto and such statement is then available, a copy of the applicable transporter's statement for the requested period. All amounts payable are due by the 25th day of the month in which the statement therefor was received. If the due date for any payment to be made hereunder is not a business day, the due date for such payment shall be the closest business day. Payment of all funds shall be made by cheque or wire transfer in such manner that funds are immediately available to the payee on the applicable due date. Interest on past due amounts shall accrue until fully paid (including accumulated interest) at the lesser of the rate of 10% per annum or the maximum rate permitted by law.</w:t>
      </w:r>
    </w:p>
    <w:p>
      <w:pPr>
        <w:pStyle w:val="Normal"/>
        <w:jc w:val="both"/>
        <w:rPr/>
      </w:pPr>
      <w:r>
        <w:rPr>
          <w:rFonts w:cs="Arial" w:ascii="Arial" w:hAnsi="Arial"/>
          <w:b/>
          <w:sz w:val="20"/>
          <w:u w:val="single"/>
        </w:rPr>
        <w:t>6. Taxes</w:t>
      </w:r>
      <w:r>
        <w:rPr>
          <w:rFonts w:cs="Arial" w:ascii="Arial" w:hAnsi="Arial"/>
          <w:sz w:val="20"/>
        </w:rPr>
        <w:t>.</w:t>
      </w:r>
      <w:r>
        <w:rPr>
          <w:rFonts w:cs="Arial" w:ascii="Arial" w:hAnsi="Arial"/>
          <w:b/>
          <w:sz w:val="20"/>
        </w:rPr>
        <w:t xml:space="preserve"> </w:t>
      </w:r>
      <w:r>
        <w:rPr>
          <w:rFonts w:cs="Arial" w:ascii="Arial" w:hAnsi="Arial"/>
          <w:sz w:val="20"/>
        </w:rPr>
        <w:t xml:space="preserve">The Contract Price includes full reimbursement for, and Seller shall pay, or reimburse Buyer for, all taxes applicable to the gas upstream of the Delivery Point. The Contract Price does not include reimbursement for, and Buyer shall pay, or reimburse Seller for, all taxes applicable to the gas sold downstream of or at the Delivery Point. </w:t>
      </w:r>
    </w:p>
    <w:p>
      <w:pPr>
        <w:pStyle w:val="Normal"/>
        <w:jc w:val="both"/>
        <w:rPr/>
      </w:pPr>
      <w:r>
        <w:rPr>
          <w:rFonts w:cs="Arial" w:ascii="Arial" w:hAnsi="Arial"/>
          <w:b/>
          <w:sz w:val="20"/>
          <w:u w:val="single"/>
        </w:rPr>
        <w:t>7. Force Majeure</w:t>
      </w:r>
      <w:r>
        <w:rPr>
          <w:rFonts w:cs="Arial" w:ascii="Arial" w:hAnsi="Arial"/>
          <w:sz w:val="20"/>
        </w:rPr>
        <w:t xml:space="preserve">.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(defined below) to carry out its obligations, it is agreed that upon such party's giving notice of such </w:t>
      </w:r>
      <w:r>
        <w:rPr>
          <w:rFonts w:cs="Arial" w:ascii="Arial" w:hAnsi="Arial"/>
          <w:sz w:val="20"/>
          <w:u w:val="single"/>
        </w:rPr>
        <w:t>Force Majeure</w:t>
      </w:r>
      <w:r>
        <w:rPr>
          <w:rFonts w:cs="Arial" w:ascii="Arial" w:hAnsi="Arial"/>
          <w:sz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u w:val="single"/>
        </w:rPr>
        <w:t>Force Majeure</w:t>
      </w:r>
      <w:r>
        <w:rPr>
          <w:rFonts w:cs="Arial" w:ascii="Arial" w:hAnsi="Arial"/>
          <w:sz w:val="20"/>
        </w:rPr>
        <w:t xml:space="preserve"> for a period of up to 60 days. If the Delivery Point is NOVA Inventory Transfer ("NIT"), "</w:t>
      </w:r>
      <w:r>
        <w:rPr>
          <w:rFonts w:cs="Arial" w:ascii="Arial" w:hAnsi="Arial"/>
          <w:sz w:val="20"/>
          <w:u w:val="single"/>
        </w:rPr>
        <w:t>Force Majeure</w:t>
      </w:r>
      <w:r>
        <w:rPr>
          <w:rFonts w:cs="Arial" w:ascii="Arial" w:hAnsi="Arial"/>
          <w:sz w:val="20"/>
        </w:rPr>
        <w:t>" means only an interruption, curtailment or prorationing by NOVA of NIT service, which affects all NOVA shippers who have nominated for deliveries or receipts to take place by NIT on that day.  On any day or any portion of a day that there is a Force Majeure and either party provides notice of the Force Majeure, Seller shall deliver to Buyer and Buyer shall receive form Seller, that percentage of the DCQ which is equal to the percentage amount of gas which according to NOVA had been nominated by all NOVA shippers for NIT and which NOVA is not interrupting, curtailing or prorationing on that day or that portion of a day.  If the Delivery Point is other that NIT, "</w:t>
      </w:r>
      <w:r>
        <w:rPr>
          <w:rFonts w:cs="Arial" w:ascii="Arial" w:hAnsi="Arial"/>
          <w:sz w:val="20"/>
          <w:u w:val="single"/>
        </w:rPr>
        <w:t>Force Majeure</w:t>
      </w:r>
      <w:r>
        <w:rPr>
          <w:rFonts w:cs="Arial" w:ascii="Arial" w:hAnsi="Arial"/>
          <w:sz w:val="20"/>
        </w:rPr>
        <w:t>" means only interruptions or curtailments of firm service at the Delivery Point by Seller’s transporter or Buyer’s transporter, regardless of whether Buyer’s transporter or Seller’s transporter declares Force Majeure. On any day that Force Majeure applies, both parties’ obligations to deliver and receive gas shall be reduced by the same percentage that Buyer’s transporter or Seller’s transporter interrupts or curtails firm service at the Delivery Point on such day.</w:t>
      </w:r>
    </w:p>
    <w:p>
      <w:pPr>
        <w:pStyle w:val="Normal"/>
        <w:jc w:val="both"/>
        <w:rPr/>
      </w:pPr>
      <w:r>
        <w:rPr>
          <w:rFonts w:cs="Arial" w:ascii="Arial" w:hAnsi="Arial"/>
          <w:b/>
          <w:sz w:val="20"/>
          <w:u w:val="single"/>
        </w:rPr>
        <w:t>8. Title, Risk of Loss and Indemnity</w:t>
      </w:r>
      <w:r>
        <w:rPr>
          <w:rFonts w:cs="Arial" w:ascii="Arial" w:hAnsi="Arial"/>
          <w:sz w:val="20"/>
        </w:rPr>
        <w:t>. Seller warrants that it has good title to and full right and authority to sell the gas sold hereunder free from all liens and adverse claims. As between the parties, Seller shall be deemed to be in exclusive control and possession of the gas to be sold hereunder and responsible for any damage or injury caused thereby prior to the time the gas shall have been delivered to Buyer at the Delivery Point. After delivery of the gas to Buyer at the Delivery Point, Buyer shall be deemed to be in exclusive control and possession thereof and responsible for any injury or damage caused thereby.  Title to the gas delivered hereunder shall pass from Seller to Buyer at the Delivery Point. Each party assumes full liability for and shall indemnify, defend and hold harmless the other party from any claims, including injury to and death of persons, arising from any act or incident occurring when title to gas is vested in the indemnifying party.</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in any event be liable for any consequential, incidental, punitive, exemplary or indirect damages, lost profits or other business interruption damages, in tort, contract, under any indemnity provision or otherwise.</w:t>
      </w:r>
      <w:r>
        <w:rPr>
          <w:rFonts w:cs="Arial" w:ascii="Arial" w:hAnsi="Arial"/>
          <w:b/>
          <w:sz w:val="20"/>
        </w:rPr>
        <w:t xml:space="preserve"> </w:t>
      </w:r>
    </w:p>
    <w:p>
      <w:pPr>
        <w:pStyle w:val="Normal"/>
        <w:jc w:val="both"/>
        <w:rPr/>
      </w:pPr>
      <w:r>
        <w:rPr>
          <w:rFonts w:cs="Arial" w:ascii="Arial" w:hAnsi="Arial"/>
          <w:b/>
          <w:sz w:val="20"/>
          <w:u w:val="single"/>
        </w:rPr>
        <w:t>10. Netting and Set-off</w:t>
      </w:r>
      <w:r>
        <w:rPr>
          <w:rFonts w:cs="Arial" w:ascii="Arial" w:hAnsi="Arial"/>
          <w:sz w:val="20"/>
        </w:rPr>
        <w:t>. Each party reserves to itself, to the extent not herein expressly waived or denied, all rights, set-offs, counterclaims and other remedies and defenses to which such party may be entitled arising from or out of this GTC. The obligations to make payments in connection with this transaction and any other physical gas sale agreements between the parties hereto shall be netted against each other.</w:t>
      </w:r>
    </w:p>
    <w:p>
      <w:pPr>
        <w:pStyle w:val="Normal"/>
        <w:jc w:val="both"/>
        <w:rPr/>
      </w:pPr>
      <w:r>
        <w:rPr>
          <w:rFonts w:cs="Arial" w:ascii="Arial" w:hAnsi="Arial"/>
          <w:b/>
          <w:sz w:val="20"/>
          <w:u w:val="single"/>
        </w:rPr>
        <w:t>11. NOVA Inventory Transfer.</w:t>
      </w:r>
      <w:r>
        <w:rPr>
          <w:rFonts w:cs="Arial" w:ascii="Arial" w:hAnsi="Arial"/>
          <w:sz w:val="20"/>
        </w:rPr>
        <w:t xml:space="preserve">  If NOVA Inventory Transfers, as they operate on the date hereof, are discontinued, or changed, then (a) the parties shall in good faith promptly enter into negotiations to change the Delivery Point to a point on the NOVA transmission system which allows for firm service delivery of the gas to be delivered under this transaction.  If the parties fail to agree on a new Delivery Point within five business days, the Delivery Point under this transaction shall be amended to AECO "C" by either party giving notice thereof to the other; and (b) following any change in the Delivery Point, Seller shall continue to be responsible for the payment of all NOVA costs for delivery of gas to the new Delivery Point; and (c) if NOVA institutes a fee for title transfers (or if pursuant to Section (a), the Delivery Point is changed to AECO "C" and AECO "C" imposes a fee for title transfers), such fee shall be paid by Seller, and if such fee is charged to Buyer, then Seller shall reimburse Buyer for such fee.</w:t>
      </w:r>
    </w:p>
    <w:p>
      <w:pPr>
        <w:pStyle w:val="Normal"/>
        <w:jc w:val="both"/>
        <w:rPr/>
      </w:pPr>
      <w:r>
        <w:rPr>
          <w:rFonts w:cs="Arial" w:ascii="Arial" w:hAnsi="Arial"/>
          <w:b/>
          <w:sz w:val="20"/>
          <w:u w:val="single"/>
        </w:rPr>
        <w:t>12. Governing Law.</w:t>
      </w:r>
      <w:r>
        <w:rPr>
          <w:rFonts w:cs="Arial" w:ascii="Arial" w:hAnsi="Arial"/>
          <w:sz w:val="20"/>
        </w:rPr>
        <w:t xml:space="preserve">  This transaction and the rights and duties of the parties arising herefrom shall be governed by the laws of the Province of Alberta and each party hereby submits to the non-exclusive jurisdiction of the courts of the Province of Alberta.</w:t>
      </w:r>
    </w:p>
    <w:p>
      <w:pPr>
        <w:pStyle w:val="Normal"/>
        <w:jc w:val="both"/>
        <w:rPr/>
      </w:pPr>
      <w:r>
        <w:rPr>
          <w:rFonts w:cs="Arial" w:ascii="Arial" w:hAnsi="Arial"/>
          <w:b/>
          <w:sz w:val="20"/>
          <w:u w:val="single"/>
        </w:rPr>
        <w:t>13. Collateral Arrangements.</w:t>
      </w:r>
      <w:r>
        <w:rPr>
          <w:rFonts w:cs="Arial" w:ascii="Arial" w:hAnsi="Arial"/>
          <w:b/>
          <w:sz w:val="20"/>
        </w:rPr>
        <w:t xml:space="preserve"> </w:t>
      </w:r>
      <w:r>
        <w:rPr>
          <w:rFonts w:cs="Arial" w:ascii="Arial" w:hAnsi="Arial"/>
          <w:sz w:val="20"/>
        </w:rPr>
        <w:t>Counterparty shall (at Enron Canada’s request) either: (i) within one Business Day of such request by Enron Canada, provide to Enron Canada a letter of credit in respect of Counterparty's obligations under any transaction, in such form and for such amount and from such issuer, as is acceptable to Enron Canada in its absolute discretion; or (ii) within such period as is specified by Enron Canada, provide for the benefit of Enron Canada a parent company guarantee in such form and for such amount as is acceptable to Enron Canada in its absolute discretion. Failure to so provide such letter of credit or parent company guaranty shall constitute a default hereunder giving rise to the immediate right of termination by Enron Canada under this GTC.</w:t>
      </w:r>
    </w:p>
    <w:p>
      <w:pPr>
        <w:pStyle w:val="Normal"/>
        <w:spacing w:before="100" w:after="100"/>
        <w:jc w:val="both"/>
        <w:rPr>
          <w:rFonts w:ascii="Arial" w:hAnsi="Arial" w:cs="Arial"/>
          <w:sz w:val="20"/>
        </w:rPr>
      </w:pPr>
      <w:r>
        <w:rPr>
          <w:rFonts w:cs="Arial" w:ascii="Arial" w:hAnsi="Arial"/>
          <w:sz w:val="20"/>
        </w:rPr>
      </w:r>
    </w:p>
    <w:sectPr>
      <w:type w:val="nextPage"/>
      <w:pgSz w:w="11906" w:h="16838"/>
      <w:pgMar w:left="1273" w:right="1273" w:gutter="0" w:header="0" w:top="1276"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1999-09-02T21:59:00Z</dcterms:created>
  <dc:creator>Edmund Cooper</dc:creator>
  <dc:description/>
  <cp:keywords>gtc</cp:keywords>
  <dc:language>en-CA</dc:language>
  <cp:lastModifiedBy>Stacy Dickson</cp:lastModifiedBy>
  <cp:lastPrinted>1999-10-14T15:29:00Z</cp:lastPrinted>
  <dcterms:modified xsi:type="dcterms:W3CDTF">1999-10-14T17:59:00Z</dcterms:modified>
  <cp:revision>12</cp:revision>
  <dc:subject>NIT</dc:subject>
  <dc:title>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