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CONSENT AND AMENDMENT AGREEMENT</w:t>
      </w:r>
    </w:p>
    <w:p>
      <w:pPr>
        <w:pStyle w:val="Normal"/>
        <w:rPr/>
      </w:pPr>
      <w:r>
        <w:rPr/>
      </w:r>
    </w:p>
    <w:p>
      <w:pPr>
        <w:pStyle w:val="Normal"/>
        <w:rPr/>
      </w:pPr>
      <w:r>
        <w:rPr/>
      </w:r>
    </w:p>
    <w:p>
      <w:pPr>
        <w:pStyle w:val="Normal"/>
        <w:rPr/>
      </w:pPr>
      <w:r>
        <w:rPr/>
        <w:tab/>
        <w:t xml:space="preserve">This CONSENT AND AMENDMENT AGREEMENT (this “Amendment”) is entered into by and among Enron North America Corp. (“ENA”), Enron Power Marketing, Inc. (“EPMI”) and American Electric Power Service Corporation (“AEP”) and AEP Energy Services, Inc. (“AEP ENERGY”)  (AEP and AEP Energy, collectively “Counterparty”) effective as of July ____, 2001.  </w:t>
      </w:r>
    </w:p>
    <w:p>
      <w:pPr>
        <w:pStyle w:val="Normal"/>
        <w:rPr/>
      </w:pPr>
      <w:r>
        <w:rPr/>
      </w:r>
    </w:p>
    <w:p>
      <w:pPr>
        <w:pStyle w:val="Normal"/>
        <w:rPr/>
      </w:pPr>
      <w:r>
        <w:rPr/>
        <w:t>WHEREAS, ENA and AEP have entered into that certain ISDA Master Agreement (the “ISDA Master”) dated effective as of ________________________, and ENA and AEP Energy have entered into that certain Base Contract for the Short-Term Sale and Purchase of Natural Gas (the “Gas Master”) dated effective as of November 1, 1998, and EPMI and AEP have entered into that certain Power Sales Agreement (the “Power Master”) as of September 29, 1997 with respect to sales by EPMI to AEP of electric capacity, energy or other related products (“Power”) and, with respect to sales from AEP to EPMI of Power, such sales are made pursuant to that certain Wholesale Market Tariff and related Power Sales Tariff-Market Rates Service Agreement dated March 30, 1998 (together with the Power Master, the “Power Agreements”).  The ISDA Master, the Gas Master and the Power Agreements are hereinafter referred to individually as a “Governing Agreement” and collectively as the “Governing Agreements;” and</w:t>
      </w:r>
    </w:p>
    <w:p>
      <w:pPr>
        <w:pStyle w:val="Normal"/>
        <w:rPr/>
      </w:pPr>
      <w:r>
        <w:rPr/>
      </w:r>
    </w:p>
    <w:p>
      <w:pPr>
        <w:pStyle w:val="Normal"/>
        <w:rPr/>
      </w:pPr>
      <w:r>
        <w:rPr/>
        <w:t>WHEREAS, Counterparty has entered into, and expects to enter into in the future, transactions from time to time using the EnronOnline trading system (“EOL”), each of which transactions is governed by one of the Governing Agreements (each an “EOL Transaction” and collectively the “EOL Transactions”); and</w:t>
      </w:r>
    </w:p>
    <w:p>
      <w:pPr>
        <w:pStyle w:val="Normal"/>
        <w:rPr/>
      </w:pPr>
      <w:r>
        <w:rPr/>
      </w:r>
    </w:p>
    <w:p>
      <w:pPr>
        <w:pStyle w:val="Normal"/>
        <w:rPr/>
      </w:pPr>
      <w:r>
        <w:rPr/>
        <w:t>WHEREAS, ENA, EPMI and Counterparty now desire to amend the Governing Agreements to provide that it is not necessary to confirm the EOL Transactions in writing and in certain other respects:</w:t>
      </w:r>
    </w:p>
    <w:p>
      <w:pPr>
        <w:pStyle w:val="Normal"/>
        <w:rPr/>
      </w:pPr>
      <w:r>
        <w:rPr/>
      </w:r>
    </w:p>
    <w:p>
      <w:pPr>
        <w:pStyle w:val="Normal"/>
        <w:rPr/>
      </w:pPr>
      <w:r>
        <w:rPr/>
        <w:t>NOW THEREFORE, in consideration of the mutual consents and agreements contained herein and for other good and valuable consideration, the sufficiency of which is hereby acknowledged, ENA, EPMI and Counterparty agree as follows:</w:t>
      </w:r>
    </w:p>
    <w:p>
      <w:pPr>
        <w:pStyle w:val="Normal"/>
        <w:rPr/>
      </w:pPr>
      <w:r>
        <w:rPr/>
      </w:r>
    </w:p>
    <w:p>
      <w:pPr>
        <w:pStyle w:val="Normal"/>
        <w:numPr>
          <w:ilvl w:val="0"/>
          <w:numId w:val="1"/>
        </w:numPr>
        <w:rPr/>
      </w:pPr>
      <w:r>
        <w:rPr/>
        <w:t>Each Governing Agreement is hereby amended in such a manner and to the extent necessary to provide that when entering into an EOL Transaction:</w:t>
      </w:r>
    </w:p>
    <w:p>
      <w:pPr>
        <w:pStyle w:val="Normal"/>
        <w:rPr/>
      </w:pPr>
      <w:r>
        <w:rPr/>
      </w:r>
    </w:p>
    <w:p>
      <w:pPr>
        <w:pStyle w:val="Normal"/>
        <w:numPr>
          <w:ilvl w:val="1"/>
          <w:numId w:val="1"/>
        </w:numPr>
        <w:rPr/>
      </w:pPr>
      <w:r>
        <w:rPr/>
        <w:t>neither party is required to send to the other a confirmation of any EOL Transaction, and failure to send a confirmation of an EOL Transaction shall not constitute a default or have any other ramification under the Governing Agreements;</w:t>
      </w:r>
    </w:p>
    <w:p>
      <w:pPr>
        <w:pStyle w:val="Normal"/>
        <w:numPr>
          <w:ilvl w:val="1"/>
          <w:numId w:val="1"/>
        </w:numPr>
        <w:rPr/>
      </w:pPr>
      <w:r>
        <w:rPr/>
        <w:t>EOL Transactions shall be binding on the parties to the applicable Governing Agreement and shall be governed by all other provisions of the applicable Governing Agreement to the same extent as if confirmations had been sent by one party and executed and returned by the other, and</w:t>
      </w:r>
    </w:p>
    <w:p>
      <w:pPr>
        <w:pStyle w:val="Normal"/>
        <w:numPr>
          <w:ilvl w:val="1"/>
          <w:numId w:val="1"/>
        </w:numPr>
        <w:rPr/>
      </w:pPr>
      <w:r>
        <w:rPr/>
        <w:t>the electronic records of EOL Transactions available on EOL shall supplement, form a part of and be subject to the terms of the applicable Governing Agreement.</w:t>
      </w:r>
    </w:p>
    <w:p>
      <w:pPr>
        <w:pStyle w:val="Normal"/>
        <w:rPr/>
      </w:pPr>
      <w:r>
        <w:rPr/>
      </w:r>
    </w:p>
    <w:p>
      <w:pPr>
        <w:pStyle w:val="Normal"/>
        <w:numPr>
          <w:ilvl w:val="0"/>
          <w:numId w:val="1"/>
        </w:numPr>
        <w:rPr/>
      </w:pPr>
      <w:r>
        <w:rPr/>
        <w:t>The Governing Agreements are further amended as provided in the Annexes attached hereto.  To the extent that EPMI and AEP enter into a new Master Agreement using the form supplied by the Edison Electric Institute (“EEI Master”) with respect to sales and purchases of Power, such EEI Master shall become a Governing Agreement for purposes of this Amendment, provided, however, that Annex A shall not apply to any EOL Transactions under the EEI Master.</w:t>
      </w:r>
    </w:p>
    <w:p>
      <w:pPr>
        <w:pStyle w:val="Normal"/>
        <w:rPr/>
      </w:pPr>
      <w:r>
        <w:rPr/>
      </w:r>
    </w:p>
    <w:p>
      <w:pPr>
        <w:pStyle w:val="Normal"/>
        <w:numPr>
          <w:ilvl w:val="0"/>
          <w:numId w:val="1"/>
        </w:numPr>
        <w:rPr/>
      </w:pPr>
      <w:r>
        <w:rPr/>
        <w:t>Each of ENA, EPMI and Counterparty consents to the introduction into evidence of the records of the EOL Transactions maintained on EOL and waives any right to object to such records as not being in writing or constituting a writing.  Electronic EOL records, if introduced in evidence in any judicial, arbitration, mediation or administrative proceedings, will be admissible as between the parties to the same extent and under the same conditions as other business records originated and maintained in documentary form.  No party shall object to the admissibility of such EOL records on the basis that such were not originated or maintained in documentary form under either the hearsay rule, the best evidence rule or other rule of evidence.</w:t>
      </w:r>
    </w:p>
    <w:p>
      <w:pPr>
        <w:pStyle w:val="Normal"/>
        <w:rPr/>
      </w:pPr>
      <w:r>
        <w:rPr/>
      </w:r>
    </w:p>
    <w:p>
      <w:pPr>
        <w:pStyle w:val="Normal"/>
        <w:numPr>
          <w:ilvl w:val="0"/>
          <w:numId w:val="1"/>
        </w:numPr>
        <w:rPr/>
      </w:pPr>
      <w:r>
        <w:rPr/>
        <w:t>Except as expressly provided herein, the Governing Agreements are not otherwise modified or amended.  In particular, the confirmation process, if any, with respect to transactions other than EOL Transactions remains unchanged.</w:t>
      </w:r>
    </w:p>
    <w:p>
      <w:pPr>
        <w:pStyle w:val="Normal"/>
        <w:rPr/>
      </w:pPr>
      <w:r>
        <w:rPr/>
      </w:r>
    </w:p>
    <w:p>
      <w:pPr>
        <w:pStyle w:val="Normal"/>
        <w:numPr>
          <w:ilvl w:val="0"/>
          <w:numId w:val="1"/>
        </w:numPr>
        <w:rPr/>
      </w:pPr>
      <w:r>
        <w:rPr/>
        <w:t>This Amendment shall be governed by and construed in accordance with the law specified as governing the Governing Agreement in question and shall be binding on and inure to the benefit of the parties and their respective successors and permitted assigns.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IN WITNESS WHEREOF, the parties have executed this Amendment effective as of the date first above written.</w:t>
      </w:r>
    </w:p>
    <w:p>
      <w:pPr>
        <w:pStyle w:val="Normal"/>
        <w:rPr/>
      </w:pPr>
      <w:r>
        <w:rPr/>
      </w:r>
    </w:p>
    <w:p>
      <w:pPr>
        <w:pStyle w:val="Normal"/>
        <w:rPr/>
      </w:pPr>
      <w:r>
        <w:rPr/>
        <w:t>ENRON NORTH AMERICA CORP.</w:t>
      </w:r>
    </w:p>
    <w:p>
      <w:pPr>
        <w:pStyle w:val="Normal"/>
        <w:rPr/>
      </w:pPr>
      <w:r>
        <w:rPr/>
      </w:r>
    </w:p>
    <w:p>
      <w:pPr>
        <w:pStyle w:val="Normal"/>
        <w:rPr/>
      </w:pPr>
      <w:r>
        <w:rPr/>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ENRON POWER MARKETING, INC.</w:t>
      </w:r>
    </w:p>
    <w:p>
      <w:pPr>
        <w:pStyle w:val="Normal"/>
        <w:rPr/>
      </w:pPr>
      <w:r>
        <w:rPr/>
      </w:r>
    </w:p>
    <w:p>
      <w:pPr>
        <w:pStyle w:val="Normal"/>
        <w:rPr/>
      </w:pPr>
      <w:r>
        <w:rPr/>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AMERICAN ELECTRIC POWER SERVICE CORPORATION</w:t>
      </w:r>
    </w:p>
    <w:p>
      <w:pPr>
        <w:pStyle w:val="Normal"/>
        <w:rPr/>
      </w:pPr>
      <w:r>
        <w:rPr/>
      </w:r>
    </w:p>
    <w:p>
      <w:pPr>
        <w:pStyle w:val="Normal"/>
        <w:rPr/>
      </w:pPr>
      <w:r>
        <w:rPr/>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jc w:val="center"/>
        <w:rPr/>
      </w:pPr>
      <w:r>
        <w:rPr/>
      </w:r>
    </w:p>
    <w:p>
      <w:pPr>
        <w:pStyle w:val="Normal"/>
        <w:jc w:val="center"/>
        <w:rPr/>
      </w:pPr>
      <w:r>
        <w:rPr/>
      </w:r>
    </w:p>
    <w:p>
      <w:pPr>
        <w:pStyle w:val="Normal"/>
        <w:rPr/>
      </w:pPr>
      <w:r>
        <w:rPr/>
        <w:t>AEP ENERGY SERVICES, INC.</w:t>
      </w:r>
    </w:p>
    <w:p>
      <w:pPr>
        <w:pStyle w:val="Normal"/>
        <w:rPr/>
      </w:pPr>
      <w:r>
        <w:rPr/>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r>
        <w:br w:type="page"/>
      </w:r>
    </w:p>
    <w:p>
      <w:pPr>
        <w:pStyle w:val="Normal"/>
        <w:rPr>
          <w:u w:val="single"/>
        </w:rPr>
      </w:pPr>
      <w:r>
        <w:rPr>
          <w:u w:val="single"/>
        </w:rPr>
        <w:t>ANNEX A</w:t>
      </w:r>
    </w:p>
    <w:p>
      <w:pPr>
        <w:pStyle w:val="Normal"/>
        <w:rPr>
          <w:u w:val="single"/>
        </w:rPr>
      </w:pPr>
      <w:r>
        <w:rPr>
          <w:u w:val="single"/>
        </w:rPr>
      </w:r>
    </w:p>
    <w:p>
      <w:pPr>
        <w:pStyle w:val="Normal"/>
        <w:rPr>
          <w:u w:val="single"/>
        </w:rPr>
      </w:pPr>
      <w:r>
        <w:rPr>
          <w:u w:val="single"/>
        </w:rPr>
      </w:r>
    </w:p>
    <w:p>
      <w:pPr>
        <w:pStyle w:val="Normal"/>
        <w:rPr/>
      </w:pPr>
      <w:r>
        <w:rPr/>
      </w:r>
    </w:p>
    <w:p>
      <w:pPr>
        <w:pStyle w:val="Normal"/>
        <w:numPr>
          <w:ilvl w:val="0"/>
          <w:numId w:val="2"/>
        </w:numPr>
        <w:rPr/>
      </w:pPr>
      <w:r>
        <w:rPr/>
        <w:t>With respect to sales of Power by AEP to EPMI pursuant to an EOL Transaction the following additional terms shall apply and be incorporated in each such EOL Transaction:</w:t>
      </w:r>
    </w:p>
    <w:p>
      <w:pPr>
        <w:pStyle w:val="Normal"/>
        <w:rPr/>
      </w:pPr>
      <w:r>
        <w:rPr/>
      </w:r>
    </w:p>
    <w:p>
      <w:pPr>
        <w:pStyle w:val="Normal"/>
        <w:ind w:start="720" w:end="0"/>
        <w:rPr/>
      </w:pPr>
      <w:r>
        <w:rPr>
          <w:u w:val="single"/>
        </w:rPr>
        <w:t>Confidentiality.</w:t>
      </w:r>
      <w:r>
        <w:rPr/>
        <w:t xml:space="preserve">  Neither Party shall disclosure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ind w:start="720" w:end="0"/>
        <w:rPr/>
      </w:pPr>
      <w:r>
        <w:rPr/>
      </w:r>
    </w:p>
    <w:p>
      <w:pPr>
        <w:pStyle w:val="Normal"/>
        <w:ind w:start="720" w:end="0"/>
        <w:rPr/>
      </w:pPr>
      <w:r>
        <w:rPr/>
        <w:t>These terms constitute part of and are subject to all the terms and conditions of the Power Sales Tariff-Market Rates Service Agreement between American Electric Power Service Corporation and EPMI dated March 30, 1998 (“Tariff Market Rate”).  Notwithstanding any contrary provisions the Tariff Market Rate Agreement, any conflict between these terms and the Tariff Market Rate Agreement shall be resolved in favor of these terms.  Terms used but not defined herein shall have the meanings ascribed to them in the Tariff Market Rate Agreement.</w:t>
      </w:r>
    </w:p>
    <w:p>
      <w:pPr>
        <w:pStyle w:val="Normal"/>
        <w:rPr/>
      </w:pPr>
      <w:r>
        <w:rPr/>
      </w:r>
    </w:p>
    <w:p>
      <w:pPr>
        <w:pStyle w:val="Normal"/>
        <w:rPr/>
      </w:pPr>
      <w:r>
        <w:rPr/>
      </w:r>
    </w:p>
    <w:p>
      <w:pPr>
        <w:pStyle w:val="Normal"/>
        <w:ind w:hanging="720" w:start="720" w:end="0"/>
        <w:rPr/>
      </w:pPr>
      <w:r>
        <w:rPr/>
        <w:t>II.</w:t>
        <w:tab/>
        <w:t>With respect to sales of Power by EPMI to AEP pursuant to an EOL Transaction, the following additional terms shall apply and be incorporated into such EOL Transaction:</w:t>
      </w:r>
    </w:p>
    <w:p>
      <w:pPr>
        <w:pStyle w:val="Normal"/>
        <w:ind w:hanging="720" w:start="720" w:end="0"/>
        <w:rPr/>
      </w:pPr>
      <w:r>
        <w:rPr/>
      </w:r>
    </w:p>
    <w:p>
      <w:pPr>
        <w:pStyle w:val="Normal"/>
        <w:keepNext w:val="true"/>
        <w:ind w:hanging="720" w:start="1440" w:end="0"/>
        <w:jc w:val="both"/>
        <w:rPr>
          <w:u w:val="single"/>
        </w:rPr>
      </w:pPr>
      <w:r>
        <w:rPr>
          <w:u w:val="single"/>
        </w:rPr>
        <w:t>Damages for Non-Performance:</w:t>
      </w:r>
    </w:p>
    <w:p>
      <w:pPr>
        <w:pStyle w:val="Normal"/>
        <w:keepNext w:val="true"/>
        <w:ind w:hanging="1440" w:start="1440" w:end="0"/>
        <w:jc w:val="both"/>
        <w:rPr>
          <w:u w:val="single"/>
        </w:rPr>
      </w:pPr>
      <w:r>
        <w:rPr>
          <w:u w:val="single"/>
        </w:rPr>
      </w:r>
    </w:p>
    <w:p>
      <w:pPr>
        <w:pStyle w:val="Normal"/>
        <w:keepNext w:val="true"/>
        <w:ind w:hanging="720" w:start="1440" w:end="0"/>
        <w:jc w:val="both"/>
        <w:rPr/>
      </w:pPr>
      <w:r>
        <w:rPr/>
        <w:t>(1)</w:t>
        <w:tab/>
        <w:t xml:space="preserve">In the event Seller fails to schedule and to deliver the Quantity, where such failure was not excused by uncontrollable forces or by Buyer’s failure to perform, Seller shall pay Buyer (on the date payment would otherwise be due under this transaction) an amount for each Mwhr of such deficiency equal to the positive difference, if any, between: (i) the price at which Buyer is able to purchase or otherwise receive such deficiency of power acting in a commercially reasonable manner (adjusted to reflect differences in transmission costs, if any)  minus (ii) the Price;  </w:t>
      </w:r>
      <w:r>
        <w:rPr>
          <w:u w:val="single"/>
        </w:rPr>
        <w:t>provided</w:t>
      </w:r>
      <w:r>
        <w:rPr/>
        <w:t xml:space="preserve">, </w:t>
      </w:r>
      <w:r>
        <w:rPr>
          <w:u w:val="single"/>
        </w:rPr>
        <w:t>however</w:t>
      </w:r>
      <w:r>
        <w:rPr/>
        <w:t>, in no event shall such amounts include any penalties, ratcheted demand or similar charges.</w:t>
      </w:r>
    </w:p>
    <w:p>
      <w:pPr>
        <w:pStyle w:val="Normal"/>
        <w:ind w:hanging="1440" w:start="1440" w:end="0"/>
        <w:jc w:val="both"/>
        <w:rPr/>
      </w:pPr>
      <w:r>
        <w:rPr/>
      </w:r>
    </w:p>
    <w:p>
      <w:pPr>
        <w:pStyle w:val="Normal"/>
        <w:ind w:hanging="720" w:start="1440" w:end="0"/>
        <w:jc w:val="both"/>
        <w:rPr/>
      </w:pPr>
      <w:r>
        <w:rPr/>
        <w:t>(2)</w:t>
        <w:tab/>
        <w:t>In the event Buyer fails to schedule and to receive the Quantity, where such failure was not excused by uncontrollable forces or by Seller’s failure to perform, Buyer</w:t>
      </w:r>
      <w:r>
        <w:rPr/>
        <w:fldChar w:fldCharType="begin"/>
      </w:r>
      <w:r>
        <w:rPr/>
        <w:instrText xml:space="preserve"> MERGEFIELD BuyerName </w:instrText>
      </w:r>
      <w:r>
        <w:rPr/>
        <w:fldChar w:fldCharType="separate"/>
      </w:r>
      <w:r>
        <w:rPr/>
      </w:r>
      <w:r>
        <w:rPr/>
        <w:fldChar w:fldCharType="end"/>
      </w:r>
      <w:r>
        <w:rPr/>
        <w:t xml:space="preserve"> shall pay Seller (on the date payment would otherwise be due under this transaction) an amount for each Mwhr of such deficiency equal to the positive difference, if any, between:  (i) the price reflected herein minus (ii) the price at which Seller is able to sell or otherwise dispose of such deficiency quantity of power acting in a commercially reasonable manner (adjusted to reflect differences in transmission costs, if any); </w:t>
      </w:r>
      <w:r>
        <w:rPr>
          <w:u w:val="single"/>
        </w:rPr>
        <w:t>provided</w:t>
      </w:r>
      <w:r>
        <w:rPr/>
        <w:t xml:space="preserve">, </w:t>
      </w:r>
      <w:r>
        <w:rPr>
          <w:u w:val="single"/>
        </w:rPr>
        <w:t>however</w:t>
      </w:r>
      <w:r>
        <w:rPr/>
        <w:t>, in no event shall such amounts include any penalties, ratcheted demand or similar charges.</w:t>
      </w:r>
    </w:p>
    <w:p>
      <w:pPr>
        <w:pStyle w:val="Normal"/>
        <w:ind w:hanging="1440" w:start="1440" w:end="0"/>
        <w:jc w:val="both"/>
        <w:rPr/>
      </w:pPr>
      <w:r>
        <w:rPr/>
      </w:r>
    </w:p>
    <w:p>
      <w:pPr>
        <w:pStyle w:val="BodyTextIndent"/>
        <w:ind w:hanging="720" w:start="1440" w:end="0"/>
        <w:rPr/>
      </w:pPr>
      <w:r>
        <w:rPr/>
        <w:t>(3)</w:t>
        <w:tab/>
        <w:t>Both Parties hereby stipulate that the payment obligations set forth above are reasonable in light of the anticipated harm and the difficulty of estimation or calculation of actual damages and each Party hereby waives the right to contest such payments as an unreasonable penalty.  In the event either Party fails to pay such amounts in accordance with this Article when due, the aggrieved Party shall have the right to:  (i) suspend performance until such amounts plus interest have been paid, and/or (ii) exercise any remedy available at law or in equity to enforce payment of such amount plus interest.  The remedy set forth herein shall be the sole and exclusive remedy of the aggrieved Party for the failure of the other Party to sell or purchase the Scheduled Energy and all other damages and remedies are hereby waived.</w:t>
      </w:r>
    </w:p>
    <w:p>
      <w:pPr>
        <w:pStyle w:val="BodyTextIndent"/>
        <w:rPr/>
      </w:pPr>
      <w:r>
        <w:rPr/>
      </w:r>
    </w:p>
    <w:p>
      <w:pPr>
        <w:pStyle w:val="BodyTextIndent"/>
        <w:rPr/>
      </w:pPr>
      <w:r>
        <w:rPr/>
        <w:t xml:space="preserve">The terms “Force Majeure” and “Uncontrollable Forces” are used interchangeably in this confirmation letter.  </w:t>
      </w:r>
    </w:p>
    <w:p>
      <w:pPr>
        <w:pStyle w:val="Normal"/>
        <w:jc w:val="both"/>
        <w:rPr/>
      </w:pPr>
      <w:r>
        <w:rPr/>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s>
        <w:ind w:hanging="720" w:start="720" w:end="0"/>
        <w:jc w:val="both"/>
        <w:rPr/>
      </w:pPr>
      <w:r>
        <w:rPr/>
        <w:tab/>
      </w:r>
      <w:r>
        <w:rPr>
          <w:u w:val="single"/>
        </w:rPr>
        <w:t>Confidentiality.</w:t>
      </w:r>
      <w:r>
        <w:rPr/>
        <w:t xml:space="preserve"> 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tabs>
          <w:tab w:val="clear" w:pos="720"/>
          <w:tab w:val="left" w:pos="360" w:leader="none"/>
          <w:tab w:val="left" w:pos="5040" w:leader="none"/>
          <w:tab w:val="left" w:pos="5760" w:leader="none"/>
          <w:tab w:val="left" w:pos="6480" w:leader="none"/>
        </w:tabs>
        <w:jc w:val="both"/>
        <w:rPr/>
      </w:pPr>
      <w:r>
        <w:rPr/>
      </w:r>
    </w:p>
    <w:p>
      <w:pPr>
        <w:pStyle w:val="Normal"/>
        <w:tabs>
          <w:tab w:val="left" w:pos="720" w:leader="none"/>
          <w:tab w:val="left" w:pos="5040" w:leader="none"/>
          <w:tab w:val="left" w:pos="5760" w:leader="none"/>
          <w:tab w:val="left" w:pos="6480" w:leader="none"/>
        </w:tabs>
        <w:ind w:start="720" w:end="0"/>
        <w:jc w:val="both"/>
        <w:rPr/>
      </w:pPr>
      <w:r>
        <w:rPr/>
        <w:t xml:space="preserve">These terms constitute part of and are subject to all the terms and provisions of the </w:t>
      </w:r>
      <w:r>
        <w:rPr/>
        <w:fldChar w:fldCharType="begin"/>
      </w:r>
      <w:r>
        <w:rPr/>
        <w:instrText xml:space="preserve"> MERGEFIELD ContractName </w:instrText>
      </w:r>
      <w:r>
        <w:rPr/>
        <w:fldChar w:fldCharType="separate"/>
      </w:r>
      <w:r>
        <w:rPr/>
        <w:t>Power Sales Agreement</w:t>
      </w:r>
      <w:r>
        <w:rPr/>
        <w:fldChar w:fldCharType="end"/>
      </w:r>
      <w:r>
        <w:rPr/>
        <w:t xml:space="preserve"> between </w:t>
      </w:r>
      <w:r>
        <w:rPr/>
        <w:fldChar w:fldCharType="begin"/>
      </w:r>
      <w:r>
        <w:rPr/>
        <w:instrText xml:space="preserve"> MERGEFIELD CounterpartyName </w:instrText>
      </w:r>
      <w:r>
        <w:rPr/>
        <w:fldChar w:fldCharType="separate"/>
      </w:r>
      <w:r>
        <w:rPr/>
        <w:t>American Electric Power Service Corporation</w:t>
      </w:r>
      <w:r>
        <w:rPr/>
        <w:fldChar w:fldCharType="end"/>
      </w:r>
      <w:r>
        <w:rPr/>
        <w:t xml:space="preserve"> and </w:t>
      </w:r>
      <w:r>
        <w:rPr/>
        <w:fldChar w:fldCharType="begin"/>
      </w:r>
      <w:r>
        <w:rPr/>
        <w:instrText xml:space="preserve"> MERGEFIELD EnronEntityCode </w:instrText>
      </w:r>
      <w:r>
        <w:rPr/>
        <w:fldChar w:fldCharType="separate"/>
      </w:r>
      <w:r>
        <w:rPr/>
        <w:t>EPMI</w:t>
      </w:r>
      <w:r>
        <w:rPr/>
        <w:fldChar w:fldCharType="end"/>
      </w:r>
      <w:r>
        <w:rPr/>
        <w:t xml:space="preserve"> entered into as of </w:t>
      </w:r>
      <w:r>
        <w:rPr/>
        <w:fldChar w:fldCharType="begin"/>
      </w:r>
      <w:r>
        <w:rPr/>
        <w:instrText xml:space="preserve"> MERGEFIELD ContractDate </w:instrText>
      </w:r>
      <w:r>
        <w:rPr/>
        <w:fldChar w:fldCharType="separate"/>
      </w:r>
      <w:r>
        <w:rPr/>
        <w:t>September 29, 1997</w:t>
      </w:r>
      <w:r>
        <w:rPr/>
        <w:fldChar w:fldCharType="end"/>
      </w:r>
      <w:r>
        <w:rPr/>
        <w:t>.  Notwithstanding any contrary provisions in the Power Sales Agreement, any conflict between these terms and the Power Sales Agreement shall be resolved in favor of these Terms.  Terms used but not defined herein shall have the meanings ascribed to them in the Power Sales Agreement.</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
    </w:p>
    <w:p>
      <w:pPr>
        <w:pStyle w:val="Normal"/>
        <w:ind w:hanging="720" w:start="720" w:end="0"/>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t>O:\legal\jhmoore\2000\EOL Consent&amp;Amendment\AEP.doc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6/28/01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lowerLetter"/>
      <w:lvlText w:val="%2."/>
      <w:lvlJc w:val="start"/>
      <w:pPr>
        <w:tabs>
          <w:tab w:val="num" w:pos="1080"/>
        </w:tabs>
        <w:ind w:start="1080" w:hanging="360"/>
      </w:pPr>
    </w:lvl>
    <w:lvl w:ilvl="2">
      <w:start w:val="1"/>
      <w:numFmt w:val="decimal"/>
      <w:lvlText w:val="%3."/>
      <w:lvlJc w:val="start"/>
      <w:pPr>
        <w:tabs>
          <w:tab w:val="num" w:pos="1980"/>
        </w:tabs>
        <w:ind w:start="1980" w:hanging="36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2">
    <w:lvl w:ilvl="0">
      <w:start w:val="1"/>
      <w:numFmt w:val="none"/>
      <w:suff w:val="nothing"/>
      <w:lvlText w:val="I."/>
      <w:lvlJc w:val="start"/>
      <w:pPr>
        <w:tabs>
          <w:tab w:val="num" w:pos="720"/>
        </w:tabs>
        <w:ind w:start="720" w:hanging="720"/>
      </w:pPr>
      <w:rPr>
        <w:sz w:val="24"/>
        <w:i w:val="false"/>
        <w:b w:val="false"/>
        <w:rFonts w:ascii="Times New Roman" w:hAnsi="Times New Roman" w:cs="Times New Roman"/>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2z0">
    <w:name w:val="WW8Num2z0"/>
    <w:qFormat/>
    <w:rPr>
      <w:rFonts w:ascii="Times New Roman" w:hAnsi="Times New Roman" w:cs="Times New Roman"/>
      <w:b w:val="false"/>
      <w:i w:val="false"/>
      <w:sz w:val="24"/>
    </w:rPr>
  </w:style>
  <w:style w:type="character" w:styleId="WW8Num4z0">
    <w:name w:val="WW8Num4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2001-07-02T14:50:00Z</dcterms:created>
  <dc:creator>mtaylo1</dc:creator>
  <dc:description/>
  <dc:language>en-CA</dc:language>
  <cp:lastModifiedBy>jhmoore</cp:lastModifiedBy>
  <cp:lastPrinted>2001-06-27T08:02:00Z</cp:lastPrinted>
  <dcterms:modified xsi:type="dcterms:W3CDTF">2001-07-03T15:35:00Z</dcterms:modified>
  <cp:revision>7</cp:revision>
  <dc:subject/>
  <dc:title>CONSENT AND AMENDMENT AGREEMENT</dc:title>
</cp:coreProperties>
</file>