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sz w:val="18"/>
          <w:u w:val="single"/>
        </w:rPr>
      </w:pPr>
      <w:r>
        <w:rPr>
          <w:b/>
          <w:sz w:val="18"/>
          <w:u w:val="single"/>
        </w:rPr>
        <w:t>ENRON PETROCHEMICALS COMPANY</w:t>
      </w:r>
    </w:p>
    <w:p>
      <w:pPr>
        <w:pStyle w:val="Normal"/>
        <w:tabs>
          <w:tab w:val="clear" w:pos="720"/>
          <w:tab w:val="left" w:pos="-720" w:leader="none"/>
        </w:tabs>
        <w:spacing w:before="0" w:after="120"/>
        <w:jc w:val="center"/>
        <w:rPr>
          <w:b/>
          <w:sz w:val="18"/>
          <w:u w:val="single"/>
        </w:rPr>
      </w:pPr>
      <w:r>
        <w:rPr>
          <w:b/>
          <w:sz w:val="18"/>
        </w:rPr>
        <w:t>a division of Enron Liquid Fuels, Inc.</w:t>
      </w:r>
    </w:p>
    <w:p>
      <w:pPr>
        <w:pStyle w:val="Normal"/>
        <w:tabs>
          <w:tab w:val="clear" w:pos="720"/>
          <w:tab w:val="left" w:pos="-720" w:leader="none"/>
        </w:tabs>
        <w:jc w:val="center"/>
        <w:rPr/>
      </w:pPr>
      <w:r>
        <w:rPr>
          <w:b/>
          <w:sz w:val="18"/>
        </w:rPr>
        <w:t>DOMESTIC SALES, PURCHASE AND/OR EXCHANGE</w:t>
      </w:r>
      <w:r>
        <w:rPr>
          <w:b/>
          <w:sz w:val="18"/>
          <w:u w:val="single"/>
        </w:rPr>
        <w:t xml:space="preserve"> </w:t>
      </w:r>
      <w:r>
        <w:rPr>
          <w:b/>
          <w:sz w:val="18"/>
        </w:rPr>
        <w:t>AGREEMENT</w:t>
      </w:r>
    </w:p>
    <w:p>
      <w:pPr>
        <w:pStyle w:val="Normal"/>
        <w:tabs>
          <w:tab w:val="clear" w:pos="720"/>
          <w:tab w:val="left" w:pos="-720" w:leader="none"/>
        </w:tabs>
        <w:spacing w:before="0" w:after="120"/>
        <w:jc w:val="center"/>
        <w:rPr>
          <w:b/>
          <w:sz w:val="18"/>
        </w:rPr>
      </w:pPr>
      <w:r>
        <w:rPr>
          <w:b/>
          <w:sz w:val="18"/>
        </w:rPr>
        <w:t>"General Terms and Conditions"</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1</w:t>
      </w:r>
      <w:r>
        <w:rPr>
          <w:sz w:val="18"/>
          <w:u w:val="single"/>
          <w:b/>
        </w:rPr>
        <w:fldChar w:fldCharType="end"/>
      </w:r>
      <w:r>
        <w:rPr>
          <w:b/>
          <w:sz w:val="18"/>
          <w:u w:val="single"/>
        </w:rPr>
        <w:tab/>
        <w:t>AGREEMENT AND CONTRACT FORMATION</w:t>
      </w:r>
    </w:p>
    <w:p>
      <w:pPr>
        <w:pStyle w:val="Normal"/>
        <w:tabs>
          <w:tab w:val="clear" w:pos="720"/>
          <w:tab w:val="left" w:pos="-720" w:leader="none"/>
        </w:tabs>
        <w:suppressAutoHyphens w:val="true"/>
        <w:jc w:val="both"/>
        <w:rPr/>
      </w:pPr>
      <w:r>
        <w:rPr>
          <w:b/>
          <w:sz w:val="16"/>
        </w:rPr>
        <w:t>1.1</w:t>
      </w:r>
      <w:r>
        <w:rPr>
          <w:sz w:val="16"/>
        </w:rPr>
        <w:tab/>
        <w:t xml:space="preserve">The term </w:t>
      </w:r>
      <w:r>
        <w:rPr>
          <w:b/>
          <w:sz w:val="16"/>
        </w:rPr>
        <w:t>"Transaction"</w:t>
      </w:r>
      <w:r>
        <w:rPr>
          <w:sz w:val="16"/>
        </w:rPr>
        <w:t xml:space="preserve"> refers to any agreement for the purchase or sale of benzene, mixed xylene, nitration toluene, refinery grade propylene, and similar refined products or petrochemicals (all hereinafter referred to as </w:t>
      </w:r>
      <w:r>
        <w:rPr>
          <w:b/>
          <w:sz w:val="16"/>
        </w:rPr>
        <w:t>"Products"</w:t>
      </w:r>
      <w:r>
        <w:rPr>
          <w:sz w:val="16"/>
        </w:rPr>
        <w:t>) between Enron Petrochemicals Company, a division of Enron Liquid Fuels, Inc. (</w:t>
      </w:r>
      <w:r>
        <w:rPr>
          <w:b/>
          <w:sz w:val="16"/>
        </w:rPr>
        <w:t>"EPC"</w:t>
      </w:r>
      <w:r>
        <w:rPr>
          <w:sz w:val="16"/>
        </w:rPr>
        <w:t xml:space="preserve">) and the </w:t>
      </w:r>
      <w:r>
        <w:rPr>
          <w:b/>
          <w:sz w:val="16"/>
        </w:rPr>
        <w:t>"Counterparty"</w:t>
      </w:r>
      <w:r>
        <w:rPr>
          <w:sz w:val="16"/>
        </w:rPr>
        <w:t xml:space="preserve"> (the party other than EPC) (each a </w:t>
      </w:r>
      <w:r>
        <w:rPr>
          <w:b/>
          <w:sz w:val="16"/>
        </w:rPr>
        <w:t>"Party"</w:t>
      </w:r>
      <w:r>
        <w:rPr>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b/>
          <w:sz w:val="16"/>
        </w:rPr>
        <w:t>"Special Terms and Conditions"</w:t>
      </w:r>
      <w:r>
        <w:rPr>
          <w:sz w:val="16"/>
        </w:rPr>
        <w:t xml:space="preserve">).  Such Special Terms and Conditions, together with these General Terms and Conditions, including, to the extent applicable, the EPC Marine Provisions, constitute the Parties' entire agreement as to a particular Transaction and override and take the place of any terms or conditions emanating from or referred to by Counterparty.  As used herein, the term </w:t>
      </w:r>
      <w:r>
        <w:rPr>
          <w:b/>
          <w:sz w:val="16"/>
        </w:rPr>
        <w:t>"this Agreement"</w:t>
      </w:r>
      <w:r>
        <w:rPr>
          <w:sz w:val="16"/>
        </w:rPr>
        <w:t xml:space="preserve"> means the Special Terms and Conditions evidencing a particular Transaction in issue, of which these General Terms and Conditions are a part.  The term </w:t>
      </w:r>
      <w:r>
        <w:rPr>
          <w:b/>
          <w:sz w:val="16"/>
        </w:rPr>
        <w:t>"Other Agreement"</w:t>
      </w:r>
      <w:r>
        <w:rPr>
          <w:sz w:val="16"/>
        </w:rPr>
        <w:t xml:space="preserve"> shall mean Transaction(s) between the Parties other than the Transaction covered by "this Agreement."  The term </w:t>
      </w:r>
      <w:r>
        <w:rPr>
          <w:b/>
          <w:sz w:val="16"/>
        </w:rPr>
        <w:t>"Seller"</w:t>
      </w:r>
      <w:r>
        <w:rPr>
          <w:sz w:val="16"/>
        </w:rPr>
        <w:t xml:space="preserve"> shall mean the Party agreeing to sell and deliver the Products to Buyer, and the term </w:t>
      </w:r>
      <w:r>
        <w:rPr>
          <w:b/>
          <w:sz w:val="16"/>
        </w:rPr>
        <w:t>"Buyer"</w:t>
      </w:r>
      <w:r>
        <w:rPr>
          <w:sz w:val="16"/>
        </w:rPr>
        <w:t xml:space="preserve"> shall mean the Party agreeing to purchase and receive Products from Seller.  </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1.2</w:t>
        <w:tab/>
      </w:r>
      <w:r>
        <w:rPr>
          <w:sz w:val="16"/>
        </w:rPr>
        <w:t>A Transaction will be initiated by Counterparty offering to buy or sell Products by clicking on the designated boxes on this website.  This website is not, and shall not be construed as, an offer to buy or sell by EPC.  EPC may accept or reject Counterparty’s offer at its sole discretion.  A Transaction shall be deemed executed at the time that EPC first signifies its acceptance of Counterparty’s offer, accessible on this website.  EPC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b/>
          <w:sz w:val="16"/>
        </w:rPr>
      </w:pPr>
      <w:r>
        <w:rPr>
          <w:b/>
          <w:sz w:val="16"/>
        </w:rPr>
      </w:r>
    </w:p>
    <w:p>
      <w:pPr>
        <w:pStyle w:val="Normal"/>
        <w:tabs>
          <w:tab w:val="clear" w:pos="720"/>
          <w:tab w:val="left" w:pos="-720" w:leader="none"/>
        </w:tabs>
        <w:suppressAutoHyphens w:val="true"/>
        <w:jc w:val="both"/>
        <w:rPr>
          <w:rFonts w:ascii="Arial" w:hAnsi="Arial" w:cs="Arial"/>
          <w:sz w:val="16"/>
        </w:rPr>
      </w:pPr>
      <w:r>
        <w:rPr>
          <w:b/>
          <w:sz w:val="16"/>
        </w:rPr>
        <w:t>1.3</w:t>
      </w:r>
      <w:r>
        <w:rPr>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 w:val="left" w:pos="450" w:leader="none"/>
          <w:tab w:val="left" w:pos="900" w:leader="none"/>
        </w:tabs>
        <w:spacing w:before="0" w:after="64"/>
        <w:jc w:val="both"/>
        <w:rPr>
          <w:rFonts w:ascii="Arial" w:hAnsi="Arial" w:cs="Arial"/>
          <w:b/>
          <w:sz w:val="18"/>
        </w:rPr>
      </w:pPr>
      <w:r>
        <w:rPr>
          <w:rFonts w:cs="Arial" w:ascii="Arial" w:hAnsi="Arial"/>
          <w:b/>
          <w:sz w:val="18"/>
        </w:rPr>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2</w:t>
      </w:r>
      <w:r>
        <w:rPr>
          <w:sz w:val="16"/>
          <w:u w:val="single"/>
          <w:b/>
        </w:rPr>
        <w:fldChar w:fldCharType="end"/>
      </w:r>
      <w:r>
        <w:rPr>
          <w:b/>
          <w:sz w:val="16"/>
          <w:u w:val="single"/>
        </w:rPr>
        <w:tab/>
        <w:t>ALTERNATE INDEX.</w:t>
      </w:r>
    </w:p>
    <w:p>
      <w:pPr>
        <w:pStyle w:val="Normal"/>
        <w:tabs>
          <w:tab w:val="clear" w:pos="720"/>
          <w:tab w:val="left" w:pos="-720" w:leader="none"/>
          <w:tab w:val="left" w:pos="450" w:leader="none"/>
          <w:tab w:val="left" w:pos="900" w:leader="none"/>
        </w:tabs>
        <w:spacing w:before="0" w:after="64"/>
        <w:jc w:val="both"/>
        <w:rPr/>
      </w:pPr>
      <w:r>
        <w:rPr>
          <w:b/>
          <w:sz w:val="16"/>
        </w:rPr>
        <w:t>2.1</w:t>
        <w:tab/>
      </w:r>
      <w:r>
        <w:rPr>
          <w:sz w:val="16"/>
        </w:rPr>
        <w:t>In the case of a sale, purchase, or exchange of Product for which any part of the Contract Price is determined by reference to an index, if such index becomes unavailable in the future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the Parties shall submit such determination to arbitration in accordance with the provisions of Section 27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Section 2.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3</w:t>
      </w:r>
      <w:r>
        <w:rPr>
          <w:sz w:val="16"/>
          <w:u w:val="single"/>
          <w:b/>
        </w:rPr>
        <w:fldChar w:fldCharType="end"/>
      </w:r>
      <w:r>
        <w:rPr>
          <w:b/>
          <w:sz w:val="16"/>
          <w:u w:val="single"/>
        </w:rPr>
        <w:tab/>
        <w:t>SCHEDULING OF PRODUCT.</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3.1</w:t>
      </w:r>
      <w:r>
        <w:rPr>
          <w:sz w:val="16"/>
        </w:rPr>
        <w:tab/>
        <w:t>In the case of Product to be delivered into a truck, Buyer shall provide to Seller's distribution department, no later than one (1) Business Day in advance of each delivery date, notice that schedules the relevant delivery date, the number of trucks that Buyer will make available to receive Product, and the quantity of Product that Buyer is prepared to accept on such delivery date.</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3.2</w:t>
        <w:tab/>
      </w:r>
      <w:r>
        <w:rPr>
          <w:sz w:val="16"/>
        </w:rPr>
        <w:t>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3.3</w:t>
      </w:r>
      <w:r>
        <w:rPr>
          <w:sz w:val="16"/>
        </w:rPr>
        <w:tab/>
        <w:t>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3.4</w:t>
        <w:tab/>
      </w:r>
      <w:r>
        <w:rPr>
          <w:sz w:val="16"/>
        </w:rPr>
        <w:t>Nothing contained in this Section 3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4</w:t>
      </w:r>
      <w:r>
        <w:rPr>
          <w:sz w:val="16"/>
          <w:u w:val="single"/>
          <w:b/>
        </w:rPr>
        <w:fldChar w:fldCharType="end"/>
      </w:r>
      <w:r>
        <w:rPr>
          <w:b/>
          <w:sz w:val="16"/>
          <w:u w:val="single"/>
        </w:rPr>
        <w:tab/>
        <w:t>TAXES.</w:t>
      </w:r>
    </w:p>
    <w:p>
      <w:pPr>
        <w:pStyle w:val="Normal"/>
        <w:tabs>
          <w:tab w:val="clear" w:pos="720"/>
          <w:tab w:val="left" w:pos="-720" w:leader="none"/>
          <w:tab w:val="left" w:pos="450" w:leader="none"/>
          <w:tab w:val="left" w:pos="900" w:leader="none"/>
        </w:tabs>
        <w:spacing w:before="0" w:after="64"/>
        <w:jc w:val="both"/>
        <w:rPr/>
      </w:pPr>
      <w:r>
        <w:rPr>
          <w:b/>
          <w:sz w:val="16"/>
        </w:rPr>
        <w:t>4.1</w:t>
      </w:r>
      <w:r>
        <w:rPr>
          <w:sz w:val="16"/>
        </w:rPr>
        <w:tab/>
        <w:t>Seller shall be liable for and shall pay, or cause to be paid, or reimburse Buyer, if Buyer has paid, all Taxes (other than environmental Taxes, including, without limitation, Taxes imposed under Sections 4611, 4612, 4661, 4662, 4671 and 4672 and successor sections of the Internal Revenue Code) applicable to the Product sold hereunder upstream of the Delivery Point(s).  If Buyer is required to remit such Tax, the amount thereof shall be deducted from any sums becoming due to Seller hereunder.</w:t>
      </w:r>
    </w:p>
    <w:p>
      <w:pPr>
        <w:pStyle w:val="Normal"/>
        <w:tabs>
          <w:tab w:val="clear" w:pos="720"/>
          <w:tab w:val="left" w:pos="-720" w:leader="none"/>
          <w:tab w:val="left" w:pos="450" w:leader="none"/>
          <w:tab w:val="left" w:pos="900" w:leader="none"/>
        </w:tabs>
        <w:spacing w:before="0" w:after="64"/>
        <w:jc w:val="both"/>
        <w:rPr/>
      </w:pPr>
      <w:r>
        <w:rPr>
          <w:b/>
          <w:sz w:val="16"/>
        </w:rPr>
        <w:t>4.2</w:t>
      </w:r>
      <w:r>
        <w:rPr>
          <w:sz w:val="16"/>
        </w:rPr>
        <w:tab/>
        <w:t>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w:t>
      </w:r>
    </w:p>
    <w:p>
      <w:pPr>
        <w:pStyle w:val="Normal"/>
        <w:tabs>
          <w:tab w:val="clear" w:pos="720"/>
          <w:tab w:val="left" w:pos="-720" w:leader="none"/>
          <w:tab w:val="left" w:pos="450" w:leader="none"/>
          <w:tab w:val="left" w:pos="900" w:leader="none"/>
        </w:tabs>
        <w:spacing w:before="0" w:after="64"/>
        <w:jc w:val="both"/>
        <w:rPr/>
      </w:pPr>
      <w:r>
        <w:rPr>
          <w:b/>
          <w:sz w:val="16"/>
        </w:rPr>
        <w:t>4.3</w:t>
      </w:r>
      <w:r>
        <w:rPr>
          <w:sz w:val="16"/>
        </w:rPr>
        <w:tab/>
        <w:t>Seller or Buyer shall indemnify, defend, and hold the other Party harmless from and against any liability with respect to Taxes for which the Seller or Buyer, as applicable, is liable hereunder.</w:t>
      </w:r>
    </w:p>
    <w:p>
      <w:pPr>
        <w:pStyle w:val="Normal"/>
        <w:tabs>
          <w:tab w:val="clear" w:pos="720"/>
          <w:tab w:val="left" w:pos="-720" w:leader="none"/>
          <w:tab w:val="left" w:pos="450" w:leader="none"/>
          <w:tab w:val="left" w:pos="900" w:leader="none"/>
        </w:tabs>
        <w:spacing w:before="0" w:after="64"/>
        <w:jc w:val="both"/>
        <w:rPr/>
      </w:pPr>
      <w:r>
        <w:rPr>
          <w:b/>
          <w:sz w:val="16"/>
        </w:rPr>
        <w:t>4.4</w:t>
      </w:r>
      <w:r>
        <w:rPr>
          <w:sz w:val="16"/>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Section 4.4.  If Buyer becomes obligated to indemnify Seller under this Section 4.4 pursuant to a written request from Seller for same, Buyer shall be entitled to declare the accrual of such obligation to indemnify to be a Triggering Event, to establish an Early Termination Date pursuant to Section 17 hereof, and terminate this Agreement in accordance with the provisions of Section 17; provided however, that in such case Seller shall be the "Notifying Party" and Buyer shall be the "Affected Party", both terms as defined in Section 17.</w:t>
      </w:r>
    </w:p>
    <w:p>
      <w:pPr>
        <w:pStyle w:val="Normal"/>
        <w:tabs>
          <w:tab w:val="clear" w:pos="720"/>
          <w:tab w:val="left" w:pos="-720" w:leader="none"/>
          <w:tab w:val="left" w:pos="450" w:leader="none"/>
          <w:tab w:val="left" w:pos="900" w:leader="none"/>
        </w:tabs>
        <w:spacing w:before="0" w:after="64"/>
        <w:jc w:val="both"/>
        <w:rPr/>
      </w:pPr>
      <w:r>
        <w:rPr>
          <w:b/>
          <w:sz w:val="16"/>
        </w:rPr>
        <w:t>4.5</w:t>
      </w:r>
      <w:r>
        <w:rPr>
          <w:sz w:val="16"/>
        </w:rPr>
        <w:tab/>
        <w:t>To claim an exemption from payment of a Tax, a Party shall provide a certificate of exemption or other reasonably satisfactory evidence of exemption from any Tax.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5</w:t>
      </w:r>
      <w:r>
        <w:rPr>
          <w:sz w:val="16"/>
          <w:u w:val="single"/>
          <w:b/>
        </w:rPr>
        <w:fldChar w:fldCharType="end"/>
      </w:r>
      <w:r>
        <w:rPr>
          <w:b/>
          <w:sz w:val="16"/>
          <w:u w:val="single"/>
        </w:rPr>
        <w:tab/>
        <w:t>FORCE MAJEURE.</w:t>
      </w:r>
    </w:p>
    <w:p>
      <w:pPr>
        <w:pStyle w:val="Normal"/>
        <w:tabs>
          <w:tab w:val="clear" w:pos="720"/>
          <w:tab w:val="left" w:pos="-720" w:leader="none"/>
          <w:tab w:val="left" w:pos="450" w:leader="none"/>
          <w:tab w:val="left" w:pos="900" w:leader="none"/>
        </w:tabs>
        <w:spacing w:before="0" w:after="64"/>
        <w:jc w:val="both"/>
        <w:rPr/>
      </w:pPr>
      <w:r>
        <w:rPr>
          <w:b/>
          <w:sz w:val="16"/>
        </w:rPr>
        <w:t>5.1</w:t>
        <w:tab/>
      </w:r>
      <w:r>
        <w:rPr>
          <w:sz w:val="16"/>
        </w:rPr>
        <w:t>No failure or omission by either Party hereto in the performance of any obligation under this Agreement (except failure or delay of either Party to pay any amount as and when due and indemnity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with respect to third parties, including, without limitation, Seller's source of supply, Seller's or Buyer's transporter, or third-party storage or terminal facilities.  When EPC is Seller, Buyer acknowledges that Seller is not a producer of Product.  If, because of any circumstances of Force Majeure, Seller is unable to fulfill its obligation to deliver Product to Buyer and Seller's other customers, Seller shall allocate its available supply from the source of the Product sold hereunder in such a manner to enable Seller to fulfill its existing commitments to Buyer, to Seller's other customers, and for Seller's internal requirements from that source in an equitable manner.</w:t>
      </w:r>
    </w:p>
    <w:p>
      <w:pPr>
        <w:pStyle w:val="Normal"/>
        <w:tabs>
          <w:tab w:val="clear" w:pos="720"/>
          <w:tab w:val="left" w:pos="-720" w:leader="none"/>
          <w:tab w:val="left" w:pos="450" w:leader="none"/>
          <w:tab w:val="left" w:pos="900" w:leader="none"/>
        </w:tabs>
        <w:spacing w:before="0" w:after="64"/>
        <w:jc w:val="both"/>
        <w:rPr/>
      </w:pPr>
      <w:r>
        <w:rPr>
          <w:b/>
          <w:sz w:val="16"/>
        </w:rPr>
        <w:t>5.2</w:t>
      </w:r>
      <w:r>
        <w:rPr>
          <w:sz w:val="16"/>
        </w:rPr>
        <w:tab/>
        <w:t>In the event of a Force Majeure occurrence, the Party whose performance is prevented by any such occurrence shall notify the other Party, in writing, as soon as reasonably possible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sole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pPr>
      <w:r>
        <w:rPr>
          <w:b/>
          <w:sz w:val="16"/>
        </w:rPr>
        <w:t>5.3</w:t>
        <w:tab/>
      </w:r>
      <w:r>
        <w:rPr>
          <w:sz w:val="16"/>
        </w:rPr>
        <w:t>The Party whose performance is prevented by Force Majeure shall, to the extent so affected and while such circumstances persist, have the right not to deliver or receive, as applicable, all or any portion of Product.  In such event, the total quantity of Product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pPr>
      <w:r>
        <w:rPr>
          <w:b/>
          <w:sz w:val="16"/>
        </w:rPr>
        <w:t>5.4</w:t>
      </w:r>
      <w:r>
        <w:rPr>
          <w:sz w:val="16"/>
        </w:rPr>
        <w:tab/>
        <w:t>Seller shall not be obliged to purchase Product for delivery and sale hereunder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pPr>
      <w:r>
        <w:rPr>
          <w:b/>
          <w:sz w:val="16"/>
        </w:rPr>
        <w:t>5.5</w:t>
      </w:r>
      <w:r>
        <w:rPr>
          <w:sz w:val="16"/>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6</w:t>
      </w:r>
      <w:r>
        <w:rPr>
          <w:sz w:val="16"/>
          <w:u w:val="single"/>
          <w:b/>
        </w:rPr>
        <w:fldChar w:fldCharType="end"/>
      </w:r>
      <w:r>
        <w:rPr>
          <w:b/>
          <w:sz w:val="16"/>
          <w:u w:val="single"/>
        </w:rPr>
        <w:tab/>
        <w:t>INDEMNITY.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6.1</w:t>
        <w:tab/>
      </w:r>
      <w:r>
        <w:rPr>
          <w:sz w:val="16"/>
        </w:rPr>
        <w:t>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6.2</w:t>
      </w:r>
      <w:r>
        <w:rPr>
          <w:sz w:val="16"/>
        </w:rPr>
        <w:tab/>
        <w:t>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b/>
          <w:sz w:val="16"/>
        </w:rPr>
      </w:pPr>
      <w:r>
        <w:rPr>
          <w:b/>
          <w:sz w:val="16"/>
        </w:rPr>
        <w:t>6.3</w:t>
        <w:tab/>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7</w:t>
      </w:r>
      <w:r>
        <w:rPr>
          <w:sz w:val="16"/>
          <w:u w:val="single"/>
          <w:b/>
        </w:rPr>
        <w:fldChar w:fldCharType="end"/>
      </w:r>
      <w:r>
        <w:rPr>
          <w:b/>
          <w:sz w:val="16"/>
          <w:u w:val="single"/>
        </w:rPr>
        <w:tab/>
        <w:t>RULES AND REGULATIONS.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7.1</w:t>
      </w:r>
      <w:r>
        <w:rPr>
          <w:sz w:val="16"/>
        </w:rPr>
        <w:tab/>
        <w:t>Seller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8</w:t>
      </w:r>
      <w:r>
        <w:rPr>
          <w:sz w:val="16"/>
          <w:u w:val="single"/>
          <w:b/>
        </w:rPr>
        <w:fldChar w:fldCharType="end"/>
      </w:r>
      <w:r>
        <w:rPr>
          <w:b/>
          <w:sz w:val="16"/>
          <w:u w:val="single"/>
        </w:rPr>
        <w:tab/>
        <w:t>NOTICES: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8.1</w:t>
      </w:r>
      <w:r>
        <w:rPr>
          <w:sz w:val="16"/>
        </w:rPr>
        <w:tab/>
        <w:t>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a Party at its address set forth in the Special Terms and Conditions.  A notice sent by facsimile shall be deemed to have been received by the close of the Business Day following the Day on which it was transmitted and confirmed by transmission report or such earlier time as confirmed orally or in writing by the receiving Party.  Notice by U.S.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b/>
          <w:sz w:val="16"/>
          <w:u w:val="single"/>
        </w:rPr>
        <w:fldChar w:fldCharType="begin"/>
      </w:r>
      <w:r>
        <w:rPr>
          <w:sz w:val="16"/>
          <w:u w:val="single"/>
          <w:b/>
        </w:rPr>
        <w:instrText xml:space="preserve"> SEQ AutoNr \* ARABIC </w:instrText>
      </w:r>
      <w:r>
        <w:rPr>
          <w:sz w:val="16"/>
          <w:u w:val="single"/>
          <w:b/>
        </w:rPr>
        <w:fldChar w:fldCharType="separate"/>
      </w:r>
      <w:r>
        <w:rPr>
          <w:sz w:val="16"/>
          <w:u w:val="single"/>
          <w:b/>
        </w:rPr>
        <w:t>9</w:t>
      </w:r>
      <w:r>
        <w:rPr>
          <w:sz w:val="16"/>
          <w:u w:val="single"/>
          <w:b/>
        </w:rPr>
        <w:fldChar w:fldCharType="end"/>
      </w:r>
      <w:r>
        <w:rPr>
          <w:b/>
          <w:sz w:val="16"/>
          <w:u w:val="single"/>
        </w:rPr>
        <w:tab/>
        <w:t>TITLE AND RISK OF LOSS.</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9.1</w:t>
      </w:r>
      <w:r>
        <w:rPr>
          <w:sz w:val="16"/>
        </w:rPr>
        <w:tab/>
        <w:t>Subject to the provisions of Section 6 and Section 9.2 of these General Terms and Conditions, title to and exclusive possession and control of the Product delivered hereunder shall pass from Seller to Buyer upon the commencement of delivery of such Product at the Delivery Point.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such Product 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9.2</w:t>
      </w:r>
      <w:r>
        <w:rPr>
          <w:sz w:val="16"/>
        </w:rPr>
        <w:tab/>
        <w:t>Notwithstanding the provisions of Section 9.1, but subject to the indemnification provisions of Section 6, in the event delivery of the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Section 10.  Exclusive possession and control of such Product shall not pass from Seller to Buyer, however, until the commencement of delivery of such Product to Buyer at the secondary Delivery Point specified below in Section 10.</w:t>
      </w:r>
    </w:p>
    <w:p>
      <w:pPr>
        <w:pStyle w:val="Normal"/>
        <w:tabs>
          <w:tab w:val="clear" w:pos="720"/>
          <w:tab w:val="left" w:pos="-720" w:leader="none"/>
          <w:tab w:val="left" w:pos="0" w:leader="none"/>
          <w:tab w:val="left" w:pos="450" w:leader="none"/>
          <w:tab w:val="left" w:pos="900" w:leader="none"/>
        </w:tabs>
        <w:spacing w:before="0" w:after="64"/>
        <w:jc w:val="both"/>
        <w:rPr/>
      </w:pPr>
      <w:r>
        <w:rPr>
          <w:b/>
          <w:sz w:val="16"/>
        </w:rPr>
        <w:t>9.3</w:t>
        <w:tab/>
      </w:r>
      <w:r>
        <w:rPr>
          <w:sz w:val="16"/>
        </w:rPr>
        <w:t>Upon the passage to Buyer of title to the Product, or commencement of Buyer's responsibility for the risk of loss, damage and liability associated with the Product, whichever first occurs hereunder,</w:t>
      </w:r>
      <w:r>
        <w:rPr>
          <w:b/>
          <w:sz w:val="16"/>
        </w:rPr>
        <w:t xml:space="preserve"> 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6"/>
        </w:rPr>
        <w:t xml:space="preserve">  When EPC is Buyer under this Agreement, EPC shall have the right to self insure all or any part of such insurance coverage.  Seller shall have no responsibility for insuring Buyer's Product and property nor other persons and property of others with respect to occurrences following commencement of delivery of the Product at the Delivery Point(s).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10.</w:t>
        <w:tab/>
        <w:t>DELIVERY POINTS.</w:t>
      </w:r>
    </w:p>
    <w:p>
      <w:pPr>
        <w:pStyle w:val="Normal"/>
        <w:tabs>
          <w:tab w:val="clear" w:pos="720"/>
          <w:tab w:val="left" w:pos="-720" w:leader="none"/>
          <w:tab w:val="left" w:pos="450" w:leader="none"/>
          <w:tab w:val="left" w:pos="900" w:leader="none"/>
        </w:tabs>
        <w:spacing w:before="0" w:after="64"/>
        <w:jc w:val="both"/>
        <w:rPr/>
      </w:pPr>
      <w:r>
        <w:rPr>
          <w:b/>
          <w:sz w:val="16"/>
        </w:rPr>
        <w:t>10.1</w:t>
        <w:tab/>
      </w:r>
      <w:r>
        <w:rPr>
          <w:sz w:val="16"/>
        </w:rPr>
        <w:t>The Delivery Location of the Product sold hereunder shall be at the geographic location agreed upon by the Parties and set forth in the Special Terms and Conditions.  The Delivery Point or Delivery Points at such geographic location will be determined in accordance with the provisions of this Section 10 unless otherwise specified in the Special Terms and Conditions.  In the event that EPC, as Seller, agrees to provide transportation services incident to the sale of Product under this Agreement, the Delivery Point shall be determined in accordance with the provisions of EPC Marine Provisions, unless otherwise agreed by the Parties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10.2</w:t>
      </w:r>
      <w:r>
        <w:rPr>
          <w:sz w:val="16"/>
        </w:rPr>
        <w:tab/>
        <w:t>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w:t>
      </w:r>
    </w:p>
    <w:p>
      <w:pPr>
        <w:pStyle w:val="Normal"/>
        <w:tabs>
          <w:tab w:val="clear" w:pos="720"/>
          <w:tab w:val="left" w:pos="-720" w:leader="none"/>
          <w:tab w:val="left" w:pos="450" w:leader="none"/>
          <w:tab w:val="left" w:pos="900" w:leader="none"/>
        </w:tabs>
        <w:spacing w:before="0" w:after="64"/>
        <w:jc w:val="both"/>
        <w:rPr/>
      </w:pPr>
      <w:r>
        <w:rPr>
          <w:b/>
          <w:sz w:val="16"/>
        </w:rPr>
        <w:t>10.3</w:t>
      </w:r>
      <w:r>
        <w:rPr>
          <w:sz w:val="16"/>
        </w:rPr>
        <w:tab/>
        <w:t>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w:t>
      </w:r>
    </w:p>
    <w:p>
      <w:pPr>
        <w:pStyle w:val="Normal"/>
        <w:tabs>
          <w:tab w:val="clear" w:pos="720"/>
          <w:tab w:val="left" w:pos="-720" w:leader="none"/>
          <w:tab w:val="left" w:pos="450" w:leader="none"/>
          <w:tab w:val="left" w:pos="900" w:leader="none"/>
        </w:tabs>
        <w:spacing w:before="0" w:after="64"/>
        <w:jc w:val="both"/>
        <w:rPr/>
      </w:pPr>
      <w:r>
        <w:rPr>
          <w:b/>
          <w:sz w:val="16"/>
        </w:rPr>
        <w:t>10.4</w:t>
        <w:tab/>
      </w:r>
      <w:r>
        <w:rPr>
          <w:sz w:val="16"/>
        </w:rPr>
        <w:t>In the event delivery is into or from a storage facility (other than from a vessel), except as provided below in this Section 10,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Buyer and Seller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Section 9.2,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w:t>
      </w:r>
    </w:p>
    <w:p>
      <w:pPr>
        <w:pStyle w:val="Normal"/>
        <w:tabs>
          <w:tab w:val="clear" w:pos="720"/>
          <w:tab w:val="left" w:pos="-720" w:leader="none"/>
          <w:tab w:val="left" w:pos="450" w:leader="none"/>
          <w:tab w:val="left" w:pos="900" w:leader="none"/>
        </w:tabs>
        <w:spacing w:before="0" w:after="64"/>
        <w:jc w:val="both"/>
        <w:rPr/>
      </w:pPr>
      <w:r>
        <w:rPr>
          <w:b/>
          <w:sz w:val="16"/>
        </w:rPr>
        <w:t>10.5</w:t>
      </w:r>
      <w:r>
        <w:rPr>
          <w:sz w:val="16"/>
        </w:rPr>
        <w:tab/>
        <w:t>In the event that delivery of any Product hereunder is to be accomplished by waterborne transportation, the EPC Marine Provisions shall apply, unless otherwise agreed by the Parties in the Special Terms and Conditions.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11.</w:t>
        <w:tab/>
        <w:t>MEASUREMENT.</w:t>
      </w:r>
    </w:p>
    <w:p>
      <w:pPr>
        <w:pStyle w:val="Normal"/>
        <w:tabs>
          <w:tab w:val="clear" w:pos="720"/>
          <w:tab w:val="left" w:pos="-720" w:leader="none"/>
          <w:tab w:val="left" w:pos="450" w:leader="none"/>
          <w:tab w:val="left" w:pos="900" w:leader="none"/>
        </w:tabs>
        <w:spacing w:before="0" w:after="64"/>
        <w:jc w:val="both"/>
        <w:rPr/>
      </w:pPr>
      <w:r>
        <w:rPr>
          <w:b/>
          <w:sz w:val="16"/>
        </w:rPr>
        <w:t>11.1</w:t>
        <w:tab/>
      </w:r>
      <w:r>
        <w:rPr>
          <w:sz w:val="16"/>
        </w:rPr>
        <w:t>The quantity of Product delivered hereunder shall be measured as follows:  (a) on all deliveries into or out of rail cars, the quantity shall be determined by official tank car capacity tables, meters, or scales in accordance with generally accepted industry practice; (b) on all deliveries into or out of truck equipment, quantities shall be determined by meter or weighing, in accordance with generally accepted industry practice; (c) on all deliveries into or out of pipelines, quantities shall be determined by pipeline meter in accordance with the American Petroleum Institute ("API") Manual of Petroleum Measurement Standards; (d) on all deliveries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w:t>
      </w:r>
    </w:p>
    <w:p>
      <w:pPr>
        <w:pStyle w:val="Normal"/>
        <w:tabs>
          <w:tab w:val="clear" w:pos="720"/>
          <w:tab w:val="left" w:pos="-720" w:leader="none"/>
          <w:tab w:val="left" w:pos="450" w:leader="none"/>
          <w:tab w:val="left" w:pos="900" w:leader="none"/>
        </w:tabs>
        <w:spacing w:before="0" w:after="64"/>
        <w:jc w:val="both"/>
        <w:rPr/>
      </w:pPr>
      <w:r>
        <w:rPr>
          <w:b/>
          <w:sz w:val="16"/>
        </w:rPr>
        <w:t>11.2</w:t>
      </w:r>
      <w:r>
        <w:rPr>
          <w:sz w:val="16"/>
        </w:rPr>
        <w:tab/>
        <w:t>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Special Terms and Conditions.  Each Party shall be entitled to have its representatives present during all loadings, unloadings, tests and measurements involving Product delivered hereunder.  To the extent no inspection procedures are specified, or if the Parties cannot agree on measurement or quality test results, the measurements and quality tests required to determine the volume of receipts or shipments or the conformity of the Product delivered to the specifications set forth in the Special Terms and Conditions shall be made by an independent inspector selected jointly by the Parties, the cost of which shall be shared equally by the Parties. Such inspector's determinations of quantity and quality shall be conclusive and binding on both Parties, except to the extent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12.</w:t>
        <w:tab/>
        <w:t>DAMAGES AND LIMITATIONS.</w:t>
      </w:r>
    </w:p>
    <w:p>
      <w:pPr>
        <w:pStyle w:val="Normal"/>
        <w:tabs>
          <w:tab w:val="clear" w:pos="720"/>
          <w:tab w:val="left" w:pos="-720" w:leader="none"/>
          <w:tab w:val="left" w:pos="450" w:leader="none"/>
          <w:tab w:val="left" w:pos="900" w:leader="none"/>
        </w:tabs>
        <w:spacing w:before="0" w:after="64"/>
        <w:jc w:val="both"/>
        <w:rPr/>
      </w:pPr>
      <w:r>
        <w:rPr>
          <w:b/>
          <w:sz w:val="16"/>
        </w:rPr>
        <w:t>12.1</w:t>
        <w:tab/>
      </w:r>
      <w:r>
        <w:rPr>
          <w:sz w:val="16"/>
        </w:rPr>
        <w:t xml:space="preserve">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6"/>
          <w:u w:val="single"/>
        </w:rPr>
        <w:t>plus</w:t>
      </w:r>
      <w:r>
        <w:rPr>
          <w:sz w:val="16"/>
        </w:rPr>
        <w:t xml:space="preserve"> (b) an amount, as liquidated damages, equal to two cents per Gallon ($0.02/Gallon)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b/>
          <w:sz w:val="16"/>
        </w:rPr>
        <w:t>12.2</w:t>
        <w:tab/>
      </w:r>
      <w:r>
        <w:rPr>
          <w:sz w:val="16"/>
        </w:rPr>
        <w:t xml:space="preserve">Unless performance is excused by another provision of this Agreement, if Seller delivers to Buyer within a Delivery Period Product that does not conform to the quality specifications set forth in the Special Terms and Conditions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Special Terms and Conditions; </w:t>
      </w:r>
      <w:r>
        <w:rPr>
          <w:sz w:val="16"/>
          <w:u w:val="single"/>
        </w:rPr>
        <w:t>plus</w:t>
      </w:r>
      <w:r>
        <w:rPr>
          <w:sz w:val="16"/>
        </w:rPr>
        <w:t xml:space="preserve"> (b) an amount, as liquidated damages, equal to two cents per Gallon ($0.02/Gallon)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Section 9.1.</w:t>
      </w:r>
    </w:p>
    <w:p>
      <w:pPr>
        <w:pStyle w:val="Normal"/>
        <w:tabs>
          <w:tab w:val="clear" w:pos="720"/>
          <w:tab w:val="left" w:pos="-720" w:leader="none"/>
          <w:tab w:val="left" w:pos="450" w:leader="none"/>
          <w:tab w:val="left" w:pos="900" w:leader="none"/>
        </w:tabs>
        <w:spacing w:before="0" w:after="64"/>
        <w:jc w:val="both"/>
        <w:rPr/>
      </w:pPr>
      <w:r>
        <w:rPr>
          <w:b/>
          <w:sz w:val="16"/>
        </w:rPr>
        <w:t>12.3</w:t>
      </w:r>
      <w:r>
        <w:rPr>
          <w:sz w:val="16"/>
        </w:rPr>
        <w:tab/>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Special Terms and Conditions) by (ii) the positive difference, if any, obtained by subtracting from the Contract Price an amount derived from (1) the price obtained by Seller in an arms-length sale to a third party of a quantity of Product equal to the Buyer Deficiency Quantity, less (2) incremental transportation and storage costs incurred by Seller; </w:t>
      </w:r>
      <w:r>
        <w:rPr>
          <w:sz w:val="16"/>
          <w:u w:val="single"/>
        </w:rPr>
        <w:t>plus</w:t>
      </w:r>
      <w:r>
        <w:rPr>
          <w:sz w:val="16"/>
        </w:rPr>
        <w:t xml:space="preserve"> (b) an amount, as liquidated damages, equal to two cents per Gallon ($0.02/Gallon) multiplied by the Buyer Deficiency Quantity to cover Seller's administrative and operational costs and expenses.</w:t>
      </w:r>
    </w:p>
    <w:p>
      <w:pPr>
        <w:pStyle w:val="Normal"/>
        <w:tabs>
          <w:tab w:val="clear" w:pos="720"/>
          <w:tab w:val="left" w:pos="-720" w:leader="none"/>
          <w:tab w:val="left" w:pos="450" w:leader="none"/>
          <w:tab w:val="left" w:pos="900" w:leader="none"/>
        </w:tabs>
        <w:spacing w:before="0" w:after="64"/>
        <w:jc w:val="both"/>
        <w:rPr>
          <w:b/>
          <w:sz w:val="16"/>
        </w:rPr>
      </w:pPr>
      <w:r>
        <w:rPr>
          <w:b/>
          <w:sz w:val="16"/>
        </w:rPr>
        <w:t>12.4</w:t>
        <w:tab/>
        <w:t>THE PARTIES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AND THE OBLIGOR'S LIABILITY SHALL BE LIMITED AS SET FORTH IN SUCH PROVISION, AND ALL OTHER REMEDIES OR DAMAGES AT LAW OR IN EQUITY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13.</w:t>
        <w:tab/>
        <w:t>WARRANTY.</w:t>
      </w:r>
    </w:p>
    <w:p>
      <w:pPr>
        <w:pStyle w:val="Normal"/>
        <w:tabs>
          <w:tab w:val="clear" w:pos="720"/>
          <w:tab w:val="left" w:pos="-720" w:leader="none"/>
          <w:tab w:val="left" w:pos="450" w:leader="none"/>
          <w:tab w:val="left" w:pos="900" w:leader="none"/>
        </w:tabs>
        <w:spacing w:before="0" w:after="64"/>
        <w:jc w:val="both"/>
        <w:rPr/>
      </w:pPr>
      <w:r>
        <w:rPr>
          <w:b/>
          <w:sz w:val="16"/>
        </w:rPr>
        <w:t>13.1</w:t>
      </w:r>
      <w:r>
        <w:rPr>
          <w:sz w:val="16"/>
        </w:rPr>
        <w:tab/>
        <w:t xml:space="preserve">Seller warrants title to all Product sold and delivered by it to Buyer, and further warrants that Seller has the right to sell such Product and that such Product meets the specifications, as may be revised from time to time, contained in the Special Terms and Conditions and is free from all liens, claims or other charges.  </w:t>
      </w:r>
      <w:r>
        <w:rPr>
          <w:b/>
          <w:sz w:val="16"/>
        </w:rPr>
        <w:t>THERE ARE, HOWEVER, NO OTHER WARRANTIES, EITHER EXPRESSED OR IMPLIED, INCLUDING, WITHOUT LIMITATION, ANY WARRANTY OF FITNESS FOR A PARTICULAR PURPOSE, MERCHANTABILITY, CONFORMITY TO MODELS OR SAMPLES, OR AGAINST INFRINGEMENT OF ANY PATENT, TRADEMARK, OR COPYRIGHT</w:t>
      </w:r>
      <w:r>
        <w:rPr>
          <w:sz w:val="16"/>
        </w:rPr>
        <w:t>.</w:t>
      </w:r>
    </w:p>
    <w:p>
      <w:pPr>
        <w:pStyle w:val="Normal"/>
        <w:keepNext w:val="true"/>
        <w:tabs>
          <w:tab w:val="clear" w:pos="720"/>
          <w:tab w:val="left" w:pos="-720" w:leader="none"/>
          <w:tab w:val="left" w:pos="450" w:leader="none"/>
          <w:tab w:val="left" w:pos="900" w:leader="none"/>
        </w:tabs>
        <w:spacing w:before="0" w:after="64"/>
        <w:jc w:val="both"/>
        <w:rPr>
          <w:b/>
          <w:sz w:val="16"/>
          <w:u w:val="single"/>
        </w:rPr>
      </w:pPr>
      <w:r>
        <w:rPr>
          <w:b/>
          <w:sz w:val="16"/>
          <w:u w:val="single"/>
        </w:rPr>
        <w:t>14.</w:t>
        <w:tab/>
        <w:t>CONDITIONS PRECEDENT TO DELIVERY.</w:t>
      </w:r>
    </w:p>
    <w:p>
      <w:pPr>
        <w:pStyle w:val="Normal"/>
        <w:tabs>
          <w:tab w:val="clear" w:pos="720"/>
          <w:tab w:val="left" w:pos="-720" w:leader="none"/>
          <w:tab w:val="left" w:pos="450" w:leader="none"/>
          <w:tab w:val="left" w:pos="900" w:leader="none"/>
        </w:tabs>
        <w:spacing w:before="0" w:after="64"/>
        <w:jc w:val="both"/>
        <w:rPr/>
      </w:pPr>
      <w:r>
        <w:rPr>
          <w:b/>
          <w:sz w:val="16"/>
        </w:rPr>
        <w:t>14.1</w:t>
      </w:r>
      <w:r>
        <w:rPr>
          <w:sz w:val="16"/>
        </w:rPr>
        <w:tab/>
        <w:t>Seller's delivery of Product to Buyer under this Agreement is subject to the prior approval of Buyer's credit by Seller, and such approval is a condition precedent to Seller's obligation to perform under this Agreement.  When EPC as Seller uses either the term "line of credit", "credit line", or "credit limit" in connection with Buyer's transactions with EPC, such term shall mean that:  (a) EPC has established a credit ceiling as the highest amount of credit allowed Buyer; and (b) all decisions with respect to the extension or continuation of the credit available to Buyer in transactions with EPC shall be in the sole discretion of EPC, and EPC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pPr>
      <w:r>
        <w:rPr>
          <w:b/>
          <w:sz w:val="16"/>
        </w:rPr>
        <w:t>14.2</w:t>
      </w:r>
      <w:r>
        <w:rPr>
          <w:sz w:val="16"/>
        </w:rPr>
        <w:tab/>
        <w:t>In order to secure the full and proper performance of this Agreement, Seller may require Buyer to provide, no later than three (3) Business Days prior to the date that Seller advises Buyer that Product will be scheduled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not expiring sooner than fifteen (15) Days after the date on which payment for the Product delivered under this Agreement becomes due as provided in Section 16 hereof, and shall otherwise be in form and substance acceptable to Seller in Seller's sole discretion, with all banking charges relating to the Letter of Credit being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pPr>
      <w:r>
        <w:rPr>
          <w:b/>
          <w:sz w:val="16"/>
        </w:rPr>
        <w:t>14.3</w:t>
      </w:r>
      <w:r>
        <w:rPr>
          <w:sz w:val="16"/>
        </w:rPr>
        <w:tab/>
        <w:t>If Buyer fails to deliver the requested security in a timely manner as provided in this Section 14,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Section 28.</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15.</w:t>
        <w:tab/>
        <w:t>FINANCIAL INFORMATION; ADDITIONAL COLLATERAL REQUIREMENT.</w:t>
      </w:r>
    </w:p>
    <w:p>
      <w:pPr>
        <w:pStyle w:val="Normal"/>
        <w:tabs>
          <w:tab w:val="clear" w:pos="720"/>
          <w:tab w:val="left" w:pos="-720" w:leader="none"/>
          <w:tab w:val="left" w:pos="450" w:leader="none"/>
          <w:tab w:val="left" w:pos="900" w:leader="none"/>
        </w:tabs>
        <w:spacing w:before="0" w:after="64"/>
        <w:jc w:val="both"/>
        <w:rPr/>
      </w:pPr>
      <w:r>
        <w:rPr>
          <w:b/>
          <w:sz w:val="16"/>
        </w:rPr>
        <w:t>15.1</w:t>
      </w:r>
      <w:r>
        <w:rPr>
          <w:sz w:val="16"/>
        </w:rPr>
        <w:tab/>
        <w:t xml:space="preserve">If requested by Counterparty, EPC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EPC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EPC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15.2</w:t>
        <w:tab/>
      </w:r>
      <w:r>
        <w:rPr>
          <w:sz w:val="16"/>
        </w:rPr>
        <w:t xml:space="preserve">If requested by EPC,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6"/>
        </w:rPr>
        <w:t>15.3</w:t>
        <w:tab/>
      </w:r>
      <w:r>
        <w:rPr>
          <w:sz w:val="16"/>
        </w:rPr>
        <w:t>If, at any time and from time to time during the term of this Agreement, there occurs a Material Adverse Change with respect to one of the Parties to this Agreement, the Party as to which no Material Adverse Change has occurred (the "Beneficiary Party") may request the Party as to which the Material Adverse Change has occurred (the "Account Party") to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notice.  Such Letter of Credit may be increased or reduced correspondingly to the amount of such Termination Payment.</w:t>
      </w:r>
    </w:p>
    <w:p>
      <w:pPr>
        <w:pStyle w:val="Normal"/>
        <w:tabs>
          <w:tab w:val="clear" w:pos="720"/>
          <w:tab w:val="left" w:pos="-720" w:leader="none"/>
        </w:tabs>
        <w:suppressAutoHyphens w:val="true"/>
        <w:jc w:val="both"/>
        <w:rPr/>
      </w:pPr>
      <w:r>
        <w:rPr>
          <w:b/>
          <w:sz w:val="16"/>
        </w:rPr>
        <w:t>15.4</w:t>
      </w:r>
      <w:r>
        <w:rPr>
          <w:sz w:val="16"/>
        </w:rPr>
        <w:t xml:space="preserve">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sz w:val="16"/>
        </w:rPr>
      </w:pPr>
      <w:r>
        <w:rPr>
          <w:sz w:val="16"/>
        </w:rPr>
      </w:r>
    </w:p>
    <w:p>
      <w:pPr>
        <w:pStyle w:val="Normal"/>
        <w:tabs>
          <w:tab w:val="clear" w:pos="720"/>
          <w:tab w:val="left" w:pos="-720" w:leader="none"/>
        </w:tabs>
        <w:suppressAutoHyphens w:val="true"/>
        <w:jc w:val="both"/>
        <w:rPr/>
      </w:pPr>
      <w:r>
        <w:rPr>
          <w:b/>
          <w:sz w:val="16"/>
        </w:rPr>
        <w:t xml:space="preserve">15.5    </w:t>
      </w:r>
      <w:r>
        <w:rPr>
          <w:sz w:val="16"/>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15.3 and 15.4.  </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16.</w:t>
        <w:tab/>
        <w:t>PAYMENT AND CREDIT.</w:t>
      </w:r>
    </w:p>
    <w:p>
      <w:pPr>
        <w:pStyle w:val="Normal"/>
        <w:tabs>
          <w:tab w:val="clear" w:pos="720"/>
          <w:tab w:val="left" w:pos="-720" w:leader="none"/>
          <w:tab w:val="left" w:pos="450" w:leader="none"/>
          <w:tab w:val="left" w:pos="900" w:leader="none"/>
        </w:tabs>
        <w:spacing w:before="0" w:after="64"/>
        <w:jc w:val="both"/>
        <w:rPr/>
      </w:pPr>
      <w:r>
        <w:rPr>
          <w:b/>
          <w:sz w:val="16"/>
        </w:rPr>
        <w:t>16.1</w:t>
        <w:tab/>
      </w:r>
      <w:r>
        <w:rPr>
          <w:sz w:val="16"/>
        </w:rPr>
        <w:t>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16.2</w:t>
        <w:tab/>
      </w:r>
      <w:r>
        <w:rPr>
          <w:sz w:val="16"/>
        </w:rPr>
        <w:t>In the case of an exchange of Product under this Agreement, EPC shall deliver to Counterparty an invoice and such other documents as may be required in the Special Terms and Conditions,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16.3</w:t>
      </w:r>
      <w:r>
        <w:rPr>
          <w:sz w:val="16"/>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pPr>
      <w:r>
        <w:rPr>
          <w:b/>
          <w:sz w:val="16"/>
        </w:rPr>
        <w:t>16.4</w:t>
      </w:r>
      <w:r>
        <w:rPr>
          <w:sz w:val="16"/>
        </w:rPr>
        <w:tab/>
        <w:t>If Buyer fails to make timely payment under this Section 16 and such failure is not remedied within five (5) Business Days after Seller gives Buyer written notice of such failure, Seller, in addition to any other remedy it may have, may suspend further sales and deliveries of Product until such amount, including interest, is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b/>
          <w:sz w:val="16"/>
        </w:rPr>
      </w:pPr>
      <w:r>
        <w:rPr>
          <w:b/>
          <w:sz w:val="16"/>
        </w:rPr>
        <w:t>16.5</w:t>
        <w:tab/>
        <w:t>ALL DISPUTES ARISING UNDER THIS SECTION 16 THAT ARE NOT OTHERWISE RESOLVED AS PROVIDED HEREIN SHALL BE SUBMITTED TO A COURT WITH JURISDICTION.  TO THE EXTENT THAT ANY SUCH UNRESOLVED DISPUTE HAS NOT BEEN SUBMITTED TO A COURT WITH JURISDICTION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pPr>
      <w:r>
        <w:rPr>
          <w:b/>
          <w:sz w:val="16"/>
        </w:rPr>
        <w:t>16.6</w:t>
      </w:r>
      <w:r>
        <w:rPr>
          <w:sz w:val="16"/>
        </w:rPr>
        <w:tab/>
        <w:t>All invoices and statements shall be sent to the Parties at the addresses set forth in the Special Terms and Conditions.  All payments by either Seller or Buyer hereunder shall be governed by the remittance and payment instructions set forth on the invoice.  If the Day on which any payment is due is not a Business Day,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pPr>
      <w:r>
        <w:rPr>
          <w:b/>
          <w:sz w:val="16"/>
        </w:rPr>
        <w:t>16.7</w:t>
      </w:r>
      <w:r>
        <w:rPr>
          <w:sz w:val="16"/>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17.</w:t>
        <w:tab/>
        <w:t>EARLY TERMINATION; OTHER REMEDIES.</w:t>
      </w:r>
    </w:p>
    <w:p>
      <w:pPr>
        <w:pStyle w:val="Normal"/>
        <w:tabs>
          <w:tab w:val="clear" w:pos="720"/>
          <w:tab w:val="left" w:pos="-720" w:leader="none"/>
          <w:tab w:val="left" w:pos="450" w:leader="none"/>
          <w:tab w:val="left" w:pos="900" w:leader="none"/>
        </w:tabs>
        <w:spacing w:before="0" w:after="64"/>
        <w:jc w:val="both"/>
        <w:rPr/>
      </w:pPr>
      <w:r>
        <w:rPr>
          <w:b/>
          <w:sz w:val="16"/>
        </w:rPr>
        <w:t>17.1</w:t>
      </w:r>
      <w:r>
        <w:rPr>
          <w:sz w:val="16"/>
        </w:rPr>
        <w:tab/>
        <w:t>If a Triggering Event (defined below in Section 17.5)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Section 28.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pPr>
      <w:r>
        <w:rPr>
          <w:b/>
          <w:sz w:val="16"/>
        </w:rPr>
        <w:t>17.2</w:t>
        <w:tab/>
      </w:r>
      <w:r>
        <w:rPr>
          <w:sz w:val="16"/>
        </w:rPr>
        <w:t>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Special Terms and Conditions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6"/>
        </w:rPr>
        <w:t>17.3</w:t>
      </w:r>
      <w:r>
        <w:rPr>
          <w:sz w:val="16"/>
        </w:rPr>
        <w:tab/>
        <w:t>Notwithstanding the definitions of Termination Payment set forth above in this Section 17,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Section 17 shall include the Notifying Party's attorneys fees.  If the calculation of the Termination Payment does not result in damages to the Notifying Party, the Termination Payment shall be zero.</w:t>
      </w:r>
    </w:p>
    <w:p>
      <w:pPr>
        <w:pStyle w:val="Normal"/>
        <w:tabs>
          <w:tab w:val="clear" w:pos="720"/>
          <w:tab w:val="left" w:pos="-720" w:leader="none"/>
          <w:tab w:val="left" w:pos="450" w:leader="none"/>
          <w:tab w:val="left" w:pos="900" w:leader="none"/>
        </w:tabs>
        <w:spacing w:before="0" w:after="64"/>
        <w:jc w:val="both"/>
        <w:rPr/>
      </w:pPr>
      <w:r>
        <w:rPr>
          <w:b/>
          <w:sz w:val="16"/>
        </w:rPr>
        <w:t>17.4</w:t>
      </w:r>
      <w:r>
        <w:rPr>
          <w:sz w:val="16"/>
        </w:rPr>
        <w:tab/>
        <w:t>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Section 27.  The Affected Party shall pay such Termination Payment to the Notifying Party within ten (10) Days after receipt of such notice.  At the time for payment of any amount due under this Section 17,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pPr>
      <w:r>
        <w:rPr>
          <w:b/>
          <w:sz w:val="16"/>
        </w:rPr>
        <w:t>17.5</w:t>
      </w:r>
      <w:r>
        <w:rPr>
          <w:sz w:val="16"/>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provided that the payment is not the subject of a good faith dispute as described in Section 16; or (b) the failure by the Affected Party to perform (unless such performance is excused by Force Majeure pursuant to Section 5) any material covenant or other agreement set forth in this Agreement (other than its obligations to make any payment or obligations which are otherwise specifically covered in this Section 17 as a separate Triggering Event), and such failure is not cured within five (5) Business Days after notice thereof to the Affected Party from the Notifying Party; or (c) an assignment or transfer by the Affected Party in violation of Section 19;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Section 15; or (h) the Affected Party fails to establish, maintain, extend or increase a Letter of Credit or otherwise furnish adequate security when required pursuant to this Agreement (including, without limitation, Section 14),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pPr>
      <w:r>
        <w:rPr>
          <w:b/>
          <w:sz w:val="16"/>
        </w:rPr>
        <w:t>17.6</w:t>
      </w:r>
      <w:r>
        <w:rPr>
          <w:sz w:val="16"/>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Section 17.</w:t>
      </w:r>
    </w:p>
    <w:p>
      <w:pPr>
        <w:pStyle w:val="Normal"/>
        <w:tabs>
          <w:tab w:val="clear" w:pos="720"/>
          <w:tab w:val="left" w:pos="-720" w:leader="none"/>
          <w:tab w:val="left" w:pos="450" w:leader="none"/>
          <w:tab w:val="left" w:pos="900" w:leader="none"/>
        </w:tabs>
        <w:spacing w:before="0" w:after="64"/>
        <w:jc w:val="both"/>
        <w:rPr/>
      </w:pPr>
      <w:r>
        <w:rPr>
          <w:b/>
          <w:sz w:val="16"/>
        </w:rPr>
        <w:t>17.7</w:t>
      </w:r>
      <w:r>
        <w:rPr>
          <w:sz w:val="16"/>
        </w:rPr>
        <w:tab/>
        <w:t>Each Party reserves to itself all rights, set-offs, counter</w:t>
        <w:softHyphen/>
        <w:t>claims, and other remedies consistent with Section 12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18.</w:t>
        <w:tab/>
        <w:t>SAFETY AND HEALTH.</w:t>
      </w:r>
    </w:p>
    <w:p>
      <w:pPr>
        <w:pStyle w:val="Normal"/>
        <w:tabs>
          <w:tab w:val="clear" w:pos="720"/>
          <w:tab w:val="left" w:pos="-720" w:leader="none"/>
          <w:tab w:val="left" w:pos="450" w:leader="none"/>
          <w:tab w:val="left" w:pos="900" w:leader="none"/>
        </w:tabs>
        <w:spacing w:before="0" w:after="64"/>
        <w:jc w:val="both"/>
        <w:rPr/>
      </w:pPr>
      <w:r>
        <w:rPr>
          <w:b/>
          <w:sz w:val="16"/>
        </w:rPr>
        <w:t>18.1</w:t>
        <w:tab/>
      </w:r>
      <w:r>
        <w:rPr>
          <w:sz w:val="16"/>
        </w:rPr>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19.</w:t>
        <w:tab/>
        <w:t>ASSIGNMENT.</w:t>
      </w:r>
    </w:p>
    <w:p>
      <w:pPr>
        <w:pStyle w:val="Normal"/>
        <w:tabs>
          <w:tab w:val="clear" w:pos="720"/>
          <w:tab w:val="left" w:pos="-720" w:leader="none"/>
          <w:tab w:val="left" w:pos="450" w:leader="none"/>
          <w:tab w:val="left" w:pos="900" w:leader="none"/>
        </w:tabs>
        <w:spacing w:before="0" w:after="64"/>
        <w:jc w:val="both"/>
        <w:rPr/>
      </w:pPr>
      <w:r>
        <w:rPr>
          <w:b/>
          <w:sz w:val="16"/>
        </w:rPr>
        <w:t>19.1</w:t>
        <w:tab/>
      </w:r>
      <w:r>
        <w:rPr>
          <w:sz w:val="16"/>
        </w:rPr>
        <w:t>Subject to the provisions of this Section 19, this Agreement, including, without limitation, each indemnification, shall inure to and be binding upon the successors and permitted assigns of the Parties hereto; provided, neither Party shall assign this Agreement in whole or in part without the prior written consent of the other Party, except to any Affiliate of the assignor, but no such assignment shall operate to relieve the assignor of its obligations hereunder; further provided that EPC may mortgage, pledge, encumber or grant a security interest in or a lien on this Agreement and/or EPC's rights or interests hereunder without the prior written consent of the other Party hereto; provided further, notwithstanding anything herein to the contrary, EPC may assign this Agreement to any party to which EPC sells, leases or otherwise disposes of all or a substantial part of the assets used in EPC's business, without the prior written consent of Counterparty, and upon consummation of such sale, lease or other disposition, EPC shall be relieved of its obligations hereunder.  Any transfer or assignment in violation of this Section 19 shall be void.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20.</w:t>
        <w:tab/>
        <w:t>DOCUMENT RETENTION, EVIDENCE, SEVERABILITY AND WAIVERS.</w:t>
      </w:r>
    </w:p>
    <w:p>
      <w:pPr>
        <w:pStyle w:val="Normal"/>
        <w:tabs>
          <w:tab w:val="clear" w:pos="720"/>
          <w:tab w:val="left" w:pos="-720" w:leader="none"/>
          <w:tab w:val="left" w:pos="450" w:leader="none"/>
          <w:tab w:val="left" w:pos="900" w:leader="none"/>
        </w:tabs>
        <w:spacing w:before="0" w:after="64"/>
        <w:jc w:val="both"/>
        <w:rPr/>
      </w:pPr>
      <w:r>
        <w:rPr>
          <w:b/>
          <w:sz w:val="16"/>
        </w:rPr>
        <w:t>20.1</w:t>
        <w:tab/>
      </w:r>
      <w:r>
        <w:rPr>
          <w:sz w:val="16"/>
        </w:rPr>
        <w:t>The provisions of the Special Terms and Conditions, these General Terms and Conditions, any Appendices hereto or thereto, and, to the extent made applicable by the Parties in the Special Terms and Conditions, and EPC Marine Provisions, when taken together, are intended by the Parties to be the final and entire expression of their agreement.  There are no prior or contemporaneous agreements (whether oral or written) affecting the subject matter.</w:t>
      </w:r>
    </w:p>
    <w:p>
      <w:pPr>
        <w:pStyle w:val="Normal"/>
        <w:tabs>
          <w:tab w:val="clear" w:pos="720"/>
          <w:tab w:val="left" w:pos="-720" w:leader="none"/>
          <w:tab w:val="left" w:pos="450" w:leader="none"/>
          <w:tab w:val="left" w:pos="900" w:leader="none"/>
        </w:tabs>
        <w:spacing w:before="0" w:after="64"/>
        <w:jc w:val="both"/>
        <w:rPr/>
      </w:pPr>
      <w:r>
        <w:rPr>
          <w:b/>
          <w:sz w:val="16"/>
        </w:rPr>
        <w:t>20.2</w:t>
      </w:r>
      <w:r>
        <w:rPr>
          <w:sz w:val="16"/>
        </w:rPr>
        <w:tab/>
        <w:t>Except as otherwise provided in this Agreement, no amendment or modification to this Agreement shall be enforceable, unless reduced to writing and executed by both Parties.</w:t>
      </w:r>
    </w:p>
    <w:p>
      <w:pPr>
        <w:pStyle w:val="Normal"/>
        <w:tabs>
          <w:tab w:val="clear" w:pos="720"/>
          <w:tab w:val="left" w:pos="-720" w:leader="none"/>
          <w:tab w:val="left" w:pos="450" w:leader="none"/>
          <w:tab w:val="left" w:pos="900" w:leader="none"/>
        </w:tabs>
        <w:spacing w:before="0" w:after="64"/>
        <w:jc w:val="both"/>
        <w:rPr/>
      </w:pPr>
      <w:r>
        <w:rPr>
          <w:b/>
          <w:sz w:val="16"/>
        </w:rPr>
        <w:t>20.3</w:t>
      </w:r>
      <w:r>
        <w:rPr>
          <w:sz w:val="16"/>
        </w:rPr>
        <w:tab/>
        <w:t>The provisions of this Agreement shall not impart rights enforceable by any person, firm or organization not a Party or not bound as a Party, or not a permitted assignee of a Party bound to this Agreement.</w:t>
      </w:r>
    </w:p>
    <w:p>
      <w:pPr>
        <w:pStyle w:val="Normal"/>
        <w:tabs>
          <w:tab w:val="clear" w:pos="720"/>
          <w:tab w:val="left" w:pos="-720" w:leader="none"/>
          <w:tab w:val="left" w:pos="450" w:leader="none"/>
          <w:tab w:val="left" w:pos="900" w:leader="none"/>
        </w:tabs>
        <w:spacing w:before="0" w:after="64"/>
        <w:jc w:val="both"/>
        <w:rPr/>
      </w:pPr>
      <w:r>
        <w:rPr>
          <w:b/>
          <w:sz w:val="16"/>
        </w:rPr>
        <w:t>20.4</w:t>
      </w:r>
      <w:r>
        <w:rPr>
          <w:sz w:val="16"/>
        </w:rPr>
        <w:tab/>
        <w:t>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w:t>
      </w:r>
    </w:p>
    <w:p>
      <w:pPr>
        <w:pStyle w:val="Normal"/>
        <w:tabs>
          <w:tab w:val="clear" w:pos="720"/>
          <w:tab w:val="left" w:pos="-720" w:leader="none"/>
          <w:tab w:val="left" w:pos="450" w:leader="none"/>
          <w:tab w:val="left" w:pos="900" w:leader="none"/>
        </w:tabs>
        <w:spacing w:before="0" w:after="64"/>
        <w:jc w:val="both"/>
        <w:rPr/>
      </w:pPr>
      <w:r>
        <w:rPr>
          <w:b/>
          <w:sz w:val="16"/>
        </w:rPr>
        <w:t>20.5</w:t>
      </w:r>
      <w:r>
        <w:rPr>
          <w:sz w:val="16"/>
        </w:rPr>
        <w:tab/>
        <w:t>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21.</w:t>
        <w:tab/>
        <w:t>DRAWBACK.</w:t>
      </w:r>
    </w:p>
    <w:p>
      <w:pPr>
        <w:pStyle w:val="Normal"/>
        <w:tabs>
          <w:tab w:val="clear" w:pos="720"/>
          <w:tab w:val="left" w:pos="-720" w:leader="none"/>
          <w:tab w:val="left" w:pos="450" w:leader="none"/>
          <w:tab w:val="left" w:pos="900" w:leader="none"/>
        </w:tabs>
        <w:spacing w:before="0" w:after="64"/>
        <w:jc w:val="both"/>
        <w:rPr/>
      </w:pPr>
      <w:r>
        <w:rPr>
          <w:b/>
          <w:sz w:val="16"/>
        </w:rPr>
        <w:t>21.1</w:t>
        <w:tab/>
      </w:r>
      <w:r>
        <w:rPr>
          <w:sz w:val="16"/>
        </w:rPr>
        <w:t>Whether EPC is the Buyer or the Seller of Product under this Agreement, duties on the Product subject to refund by the U.S. Customs Service under drawback laws because of the export of the Product shall be refunded to EPC.  Counterparty shall provide EPC with all documents, if any, needed by EPC to receive such refund.</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22.</w:t>
        <w:tab/>
        <w:t>LAW AND JURISDICTION.</w:t>
      </w:r>
    </w:p>
    <w:p>
      <w:pPr>
        <w:pStyle w:val="Normal"/>
        <w:tabs>
          <w:tab w:val="clear" w:pos="720"/>
          <w:tab w:val="left" w:pos="-720" w:leader="none"/>
          <w:tab w:val="left" w:pos="900" w:leader="none"/>
        </w:tabs>
        <w:spacing w:before="0" w:after="64"/>
        <w:jc w:val="both"/>
        <w:rPr>
          <w:sz w:val="16"/>
          <w:u w:val="single"/>
        </w:rPr>
      </w:pPr>
      <w:r>
        <w:rPr>
          <w:b/>
          <w:sz w:val="16"/>
        </w:rPr>
        <w:t>22.1</w:t>
      </w:r>
      <w:r>
        <w:rPr>
          <w:sz w:val="16"/>
        </w:rPr>
        <w:t xml:space="preserve">  This Agreement shall be governed by, and construed, enforced and performed in accordance with Texas law, including, without limitation, the Uniform Commercial Code as in effect in the State of Texas, as the same may be amended from time to time, without regard to principles of conflicts of law, and to the exclusion of the laws of any other legal system.  The parties agree that this Agreement shall be deemed to have been made in Texas.</w:t>
      </w:r>
    </w:p>
    <w:p>
      <w:pPr>
        <w:pStyle w:val="Normal"/>
        <w:tabs>
          <w:tab w:val="clear" w:pos="720"/>
          <w:tab w:val="left" w:pos="-720" w:leader="none"/>
          <w:tab w:val="left" w:pos="900" w:leader="none"/>
        </w:tabs>
        <w:spacing w:before="0" w:after="64"/>
        <w:jc w:val="both"/>
        <w:rPr/>
      </w:pPr>
      <w:r>
        <w:rPr>
          <w:b/>
          <w:sz w:val="16"/>
          <w:u w:val="single"/>
        </w:rPr>
        <w:t>23.</w:t>
      </w:r>
      <w:r>
        <w:rPr>
          <w:sz w:val="16"/>
          <w:u w:val="single"/>
        </w:rPr>
        <w:t xml:space="preserve">  </w:t>
      </w:r>
      <w:r>
        <w:rPr>
          <w:b/>
          <w:sz w:val="16"/>
          <w:u w:val="single"/>
        </w:rPr>
        <w:t>AUDIT.</w:t>
      </w:r>
    </w:p>
    <w:p>
      <w:pPr>
        <w:pStyle w:val="Normal"/>
        <w:tabs>
          <w:tab w:val="clear" w:pos="720"/>
          <w:tab w:val="left" w:pos="-720" w:leader="none"/>
          <w:tab w:val="left" w:pos="450" w:leader="none"/>
          <w:tab w:val="left" w:pos="900" w:leader="none"/>
        </w:tabs>
        <w:spacing w:before="0" w:after="64"/>
        <w:jc w:val="both"/>
        <w:rPr/>
      </w:pPr>
      <w:r>
        <w:rPr>
          <w:b/>
          <w:sz w:val="16"/>
        </w:rPr>
        <w:t>23.1</w:t>
        <w:tab/>
      </w:r>
      <w:r>
        <w:rPr>
          <w:sz w:val="16"/>
        </w:rPr>
        <w:t>Subject to the confidentiality provisions of Section 26, for a period of two (2) years from a date of delivery of Product under this Agreement, each Party and its duly authorized representatives shall have the right, at its own expense and following reasonable notice, to audit (and take copies of) the books and records of the other relating to that delivery to the extent necessary to verify the accuracy of any invoice, charge, payment, or computation made under this Agreement.</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24.</w:t>
        <w:tab/>
        <w:t>EXCHANGE BALANCE.</w:t>
      </w:r>
    </w:p>
    <w:p>
      <w:pPr>
        <w:pStyle w:val="Normal"/>
        <w:tabs>
          <w:tab w:val="clear" w:pos="720"/>
          <w:tab w:val="left" w:pos="-720" w:leader="none"/>
          <w:tab w:val="left" w:pos="450" w:leader="none"/>
          <w:tab w:val="left" w:pos="900" w:leader="none"/>
        </w:tabs>
        <w:spacing w:before="0" w:after="64"/>
        <w:jc w:val="both"/>
        <w:rPr/>
      </w:pPr>
      <w:r>
        <w:rPr>
          <w:b/>
          <w:sz w:val="16"/>
        </w:rPr>
        <w:t>24.1</w:t>
        <w:tab/>
      </w:r>
      <w:r>
        <w:rPr>
          <w:sz w:val="16"/>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25.</w:t>
        <w:tab/>
        <w:t>COMPLIANCE WITH U.S. LAWS AND REGULATIONS IN INTERNATIONAL TRANSACTIONS.</w:t>
      </w:r>
    </w:p>
    <w:p>
      <w:pPr>
        <w:pStyle w:val="Normal"/>
        <w:tabs>
          <w:tab w:val="clear" w:pos="720"/>
          <w:tab w:val="left" w:pos="-720" w:leader="none"/>
          <w:tab w:val="left" w:pos="450" w:leader="none"/>
          <w:tab w:val="left" w:pos="900" w:leader="none"/>
        </w:tabs>
        <w:spacing w:before="0" w:after="64"/>
        <w:jc w:val="both"/>
        <w:rPr/>
      </w:pPr>
      <w:r>
        <w:rPr>
          <w:b/>
          <w:sz w:val="16"/>
        </w:rPr>
        <w:t>25.1</w:t>
      </w:r>
      <w:r>
        <w:rPr>
          <w:sz w:val="16"/>
        </w:rPr>
        <w:tab/>
        <w:t>The Parties acknowledge that EPC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EPC or any of its Affiliates is not placed in a position of noncompliance with the U.S. Laws, including but not limited to any reporting requirements.</w:t>
      </w:r>
    </w:p>
    <w:p>
      <w:pPr>
        <w:pStyle w:val="Normal"/>
        <w:spacing w:lineRule="atLeast" w:line="240"/>
        <w:jc w:val="both"/>
        <w:rPr/>
      </w:pPr>
      <w:r>
        <w:rPr>
          <w:b/>
          <w:color w:val="000000"/>
          <w:sz w:val="16"/>
        </w:rPr>
        <w:t xml:space="preserve">25.2    </w:t>
      </w:r>
      <w:r>
        <w:rPr>
          <w:color w:val="000000"/>
          <w:sz w:val="16"/>
        </w:rPr>
        <w:t>If EPC is Buyer</w:t>
      </w:r>
      <w:r>
        <w:rPr>
          <w:color w:val="000000"/>
          <w:sz w:val="16"/>
          <w:u w:val="single"/>
        </w:rPr>
        <w:t>,</w:t>
      </w:r>
      <w:r>
        <w:rPr>
          <w:color w:val="000000"/>
          <w:sz w:val="16"/>
        </w:rPr>
        <w:t xml:space="preserve"> Seller warrants that the product supplied under this agreement shall not be produced by, originate or be shipped from any country subject to U.S</w:t>
      </w:r>
      <w:r>
        <w:rPr>
          <w:color w:val="000000"/>
          <w:sz w:val="16"/>
          <w:u w:val="single"/>
        </w:rPr>
        <w:t>.</w:t>
      </w:r>
      <w:r>
        <w:rPr>
          <w:color w:val="000000"/>
          <w:sz w:val="16"/>
        </w:rPr>
        <w:t xml:space="preserve"> trade sanctions (including but not limited to Iran, Iraq, Cuba, North Korea, Libya, Sudan, The Federal Republic of Yugoslavia and The Republic of Serbia) and/or any country with whom EPC is prohibited by U.S. law or U.S. regulations from trading.  Seller shall if requested by EPC provide EPC with a certificate of origin for the product.  The certificate of origin shall be attested by an official seal and signature of the customs authorities or the Chamber of Commerce at the loadport.  Seller shall ensure that EPC  receives the certificate of origin within 30 days of the bill of lading date.  It is a condition of this Agreement that the Seller complies with their obligations under this clause. In the event that the Seller is in breach of its obligations hereunder in whole or in part EPC shall be entitled to reject the product and claim damages.</w:t>
      </w:r>
    </w:p>
    <w:p>
      <w:pPr>
        <w:pStyle w:val="Normal"/>
        <w:tabs>
          <w:tab w:val="clear" w:pos="720"/>
          <w:tab w:val="left" w:pos="-720" w:leader="none"/>
        </w:tabs>
        <w:suppressAutoHyphens w:val="true"/>
        <w:jc w:val="both"/>
        <w:rPr>
          <w:color w:val="000000"/>
          <w:sz w:val="16"/>
        </w:rPr>
      </w:pPr>
      <w:r>
        <w:rPr>
          <w:color w:val="000000"/>
          <w:sz w:val="16"/>
        </w:rPr>
      </w:r>
    </w:p>
    <w:p>
      <w:pPr>
        <w:pStyle w:val="Normal"/>
        <w:tabs>
          <w:tab w:val="clear" w:pos="720"/>
          <w:tab w:val="left" w:pos="-720" w:leader="none"/>
        </w:tabs>
        <w:suppressAutoHyphens w:val="true"/>
        <w:jc w:val="both"/>
        <w:rPr/>
      </w:pPr>
      <w:r>
        <w:rPr>
          <w:b/>
          <w:sz w:val="16"/>
        </w:rPr>
        <w:t xml:space="preserve">25.3   </w:t>
      </w:r>
      <w:r>
        <w:rPr>
          <w:sz w:val="16"/>
        </w:rPr>
        <w:t>If EPC is Seller, 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EPC’s request, Buyer agrees to notify EPC of the final destination of the product and provide EPC with relevant documentation adequate to verify such destination. It is a condition of this Agreement that Buyer complies with its obligations under this clause.  In the event that Buyer is in breach of any of the provisions of this clause in whole or part, EPC shall be entitled to terminate this agreement immediately without any liability to Buyer, and Buyer shall hold EPC harmless and indemnify EPC for any damages, losses, costs, fines or penalties incurred by EPC resulting from Buyer’s breach</w:t>
      </w:r>
      <w:r>
        <w:rPr>
          <w:sz w:val="18"/>
        </w:rPr>
        <w:t>.</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26.</w:t>
        <w:tab/>
        <w:t>CONFIDENTIALITY.</w:t>
      </w:r>
    </w:p>
    <w:p>
      <w:pPr>
        <w:pStyle w:val="Normal"/>
        <w:tabs>
          <w:tab w:val="clear" w:pos="720"/>
          <w:tab w:val="left" w:pos="-720" w:leader="none"/>
          <w:tab w:val="left" w:pos="450" w:leader="none"/>
          <w:tab w:val="left" w:pos="900" w:leader="none"/>
        </w:tabs>
        <w:spacing w:before="0" w:after="64"/>
        <w:jc w:val="both"/>
        <w:rPr/>
      </w:pPr>
      <w:r>
        <w:rPr>
          <w:b/>
          <w:sz w:val="16"/>
        </w:rPr>
        <w:t>26.1</w:t>
        <w:tab/>
      </w:r>
      <w:r>
        <w:rPr>
          <w:sz w:val="16"/>
        </w:rPr>
        <w:t>Each Party shall keep all information obtained by the relevant Party pursuant to any audit conducted under Section 23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all information obtained by the relevant Party pursuant to any audit conducted under Section 23 of this Agreement confidential; provided, however, that nothing contained in this Section 26 shall be construed to prohibit the Parties hereto from operating businesses in competition with each other.  The provisions of the Agreement other than the terms of any Transaction are not subject to this confidentiality provision.</w:t>
      </w:r>
    </w:p>
    <w:p>
      <w:pPr>
        <w:pStyle w:val="Normal"/>
        <w:tabs>
          <w:tab w:val="clear" w:pos="720"/>
          <w:tab w:val="left" w:pos="-720" w:leader="none"/>
          <w:tab w:val="left" w:pos="450" w:leader="none"/>
          <w:tab w:val="left" w:pos="900" w:leader="none"/>
        </w:tabs>
        <w:spacing w:before="0" w:after="64"/>
        <w:jc w:val="both"/>
        <w:rPr>
          <w:b/>
          <w:sz w:val="16"/>
          <w:u w:val="single"/>
        </w:rPr>
      </w:pPr>
      <w:r>
        <w:rPr>
          <w:b/>
          <w:sz w:val="16"/>
          <w:u w:val="single"/>
        </w:rPr>
        <w:t>27</w:t>
        <w:tab/>
        <w:t>ARBITRATION.</w:t>
      </w:r>
    </w:p>
    <w:p>
      <w:pPr>
        <w:pStyle w:val="Normal"/>
        <w:jc w:val="both"/>
        <w:rPr/>
      </w:pPr>
      <w:r>
        <w:rPr>
          <w:b/>
          <w:sz w:val="16"/>
        </w:rPr>
        <w:t xml:space="preserve">27.1  </w:t>
      </w:r>
      <w:r>
        <w:rPr>
          <w:sz w:val="16"/>
        </w:rPr>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b/>
          <w:sz w:val="16"/>
        </w:rPr>
        <w:t xml:space="preserve"> the parties hereby waiving their rights, if any, to recover attorneys' fees and consequential, special, indirect, treble, exemplary and punitive damages with respect to this Agreement</w:t>
      </w:r>
      <w:r>
        <w:rPr>
          <w:sz w:val="16"/>
        </w:rPr>
        <w:t>.</w:t>
      </w:r>
      <w:r>
        <w:rPr>
          <w:b/>
          <w:sz w:val="16"/>
        </w:rPr>
        <w:t xml:space="preserve">  </w:t>
      </w:r>
      <w:r>
        <w:rPr>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sz w:val="16"/>
        </w:rPr>
      </w:pPr>
      <w:r>
        <w:rPr>
          <w:sz w:val="16"/>
        </w:rPr>
      </w:r>
    </w:p>
    <w:p>
      <w:pPr>
        <w:pStyle w:val="Normal"/>
        <w:jc w:val="both"/>
        <w:rPr/>
      </w:pPr>
      <w:r>
        <w:rPr>
          <w:b/>
          <w:sz w:val="16"/>
        </w:rPr>
        <w:t>27.2</w:t>
        <w:tab/>
      </w:r>
      <w:r>
        <w:rPr>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sz w:val="16"/>
        </w:rPr>
      </w:pPr>
      <w:r>
        <w:rPr>
          <w:sz w:val="16"/>
        </w:rPr>
      </w:r>
    </w:p>
    <w:p>
      <w:pPr>
        <w:pStyle w:val="Normal"/>
        <w:ind w:hanging="720" w:start="1440" w:end="0"/>
        <w:jc w:val="both"/>
        <w:rPr>
          <w:sz w:val="16"/>
        </w:rPr>
      </w:pPr>
      <w:r>
        <w:rPr>
          <w:sz w:val="16"/>
        </w:rPr>
        <w:t>(i)</w:t>
        <w:tab/>
        <w:t>consents to the exclusive personal jurisdiction of the courts located in Harris County, Texas, USA;</w:t>
      </w:r>
    </w:p>
    <w:p>
      <w:pPr>
        <w:pStyle w:val="Normal"/>
        <w:ind w:hanging="720" w:start="1440" w:end="0"/>
        <w:jc w:val="both"/>
        <w:rPr>
          <w:sz w:val="16"/>
        </w:rPr>
      </w:pPr>
      <w:r>
        <w:rPr>
          <w:sz w:val="16"/>
        </w:rPr>
      </w:r>
    </w:p>
    <w:p>
      <w:pPr>
        <w:pStyle w:val="Normal"/>
        <w:ind w:hanging="720" w:start="1440" w:end="0"/>
        <w:jc w:val="both"/>
        <w:rPr>
          <w:sz w:val="16"/>
        </w:rPr>
      </w:pPr>
      <w:r>
        <w:rPr>
          <w:sz w:val="16"/>
        </w:rPr>
        <w:t>(ii)</w:t>
        <w:tab/>
        <w:t>agrees that venue properly lies in the above-designated jurisdiction; and</w:t>
      </w:r>
    </w:p>
    <w:p>
      <w:pPr>
        <w:pStyle w:val="Normal"/>
        <w:ind w:hanging="720" w:start="1440" w:end="0"/>
        <w:jc w:val="both"/>
        <w:rPr>
          <w:sz w:val="16"/>
        </w:rPr>
      </w:pPr>
      <w:r>
        <w:rPr>
          <w:sz w:val="16"/>
        </w:rPr>
      </w:r>
    </w:p>
    <w:p>
      <w:pPr>
        <w:pStyle w:val="Normal"/>
        <w:ind w:hanging="720" w:start="1440" w:end="0"/>
        <w:jc w:val="both"/>
        <w:rPr>
          <w:sz w:val="16"/>
        </w:rPr>
      </w:pPr>
      <w:r>
        <w:rPr>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sz w:val="16"/>
        </w:rPr>
      </w:pPr>
      <w:r>
        <w:rPr>
          <w:sz w:val="16"/>
        </w:rPr>
      </w:r>
    </w:p>
    <w:p>
      <w:pPr>
        <w:pStyle w:val="Normal"/>
        <w:ind w:hanging="720" w:start="720" w:end="0"/>
        <w:jc w:val="both"/>
        <w:rPr>
          <w:sz w:val="16"/>
        </w:rPr>
      </w:pPr>
      <w:r>
        <w:rPr>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sz w:val="16"/>
        </w:rPr>
      </w:pPr>
      <w:r>
        <w:rPr>
          <w:sz w:val="16"/>
        </w:rPr>
      </w:r>
    </w:p>
    <w:p>
      <w:pPr>
        <w:pStyle w:val="Normal"/>
        <w:ind w:hanging="720" w:start="720" w:end="0"/>
        <w:jc w:val="both"/>
        <w:rPr>
          <w:sz w:val="16"/>
        </w:rPr>
      </w:pPr>
      <w:r>
        <w:rPr>
          <w:sz w:val="16"/>
        </w:rPr>
        <w:t>(c)</w:t>
        <w:tab/>
        <w:t>The parties hereby waive any claim that a judgment obtained in the above-designated jurisdiction is invalid or unenforceable.</w:t>
      </w:r>
    </w:p>
    <w:p>
      <w:pPr>
        <w:pStyle w:val="Normal"/>
        <w:ind w:hanging="720" w:start="720" w:end="0"/>
        <w:jc w:val="both"/>
        <w:rPr>
          <w:sz w:val="16"/>
        </w:rPr>
      </w:pPr>
      <w:r>
        <w:rPr>
          <w:sz w:val="16"/>
        </w:rPr>
      </w:r>
    </w:p>
    <w:p>
      <w:pPr>
        <w:pStyle w:val="Normal"/>
        <w:ind w:hanging="720" w:start="720" w:end="0"/>
        <w:jc w:val="both"/>
        <w:rPr>
          <w:sz w:val="16"/>
        </w:rPr>
      </w:pPr>
      <w:r>
        <w:rPr>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sz w:val="16"/>
        </w:rPr>
      </w:pPr>
      <w:r>
        <w:rPr>
          <w:sz w:val="16"/>
        </w:rPr>
      </w:r>
    </w:p>
    <w:p>
      <w:pPr>
        <w:pStyle w:val="BodyText2"/>
        <w:jc w:val="both"/>
        <w:rPr>
          <w:rFonts w:ascii="Arial" w:hAnsi="Arial" w:cs="Arial"/>
          <w:sz w:val="16"/>
        </w:rPr>
      </w:pPr>
      <w:r>
        <w:rPr>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28.</w:t>
        <w:tab/>
        <w:t>WINDING-UP ARRANGEMENTS.</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28.1</w:t>
      </w:r>
      <w:r>
        <w:rPr>
          <w:sz w:val="16"/>
        </w:rPr>
        <w:tab/>
        <w:t>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28.2</w:t>
      </w:r>
      <w:r>
        <w:rPr>
          <w:sz w:val="16"/>
        </w:rPr>
        <w:tab/>
        <w:t>All indemnity obligations and audit rights shall survive the termination of this Agreement.  The Parties' obligations, as provided in this Agreement, shall remain in effect solely for the purpose of complying with this Section 28 until the obligations under this Section 28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b/>
          <w:sz w:val="16"/>
          <w:u w:val="single"/>
        </w:rPr>
      </w:pPr>
      <w:r>
        <w:rPr>
          <w:b/>
          <w:sz w:val="16"/>
          <w:u w:val="single"/>
        </w:rPr>
        <w:t>29.</w:t>
        <w:tab/>
        <w:t>DTPA WAIVER.</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6"/>
        </w:rPr>
        <w:t>29.1</w:t>
        <w:tab/>
      </w:r>
      <w:r>
        <w:rPr>
          <w:sz w:val="16"/>
        </w:rPr>
        <w:t>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sectPr>
          <w:headerReference w:type="default" r:id="rId2"/>
          <w:headerReference w:type="first" r:id="rId3"/>
          <w:footerReference w:type="default" r:id="rId4"/>
          <w:footerReference w:type="first" r:id="rId5"/>
          <w:type w:val="nextPage"/>
          <w:pgSz w:w="12240" w:h="15840"/>
          <w:pgMar w:left="720" w:right="720" w:gutter="0" w:header="432" w:top="720" w:footer="288" w:bottom="720"/>
          <w:pgNumType w:fmt="decimal"/>
          <w:cols w:num="2" w:space="432" w:equalWidth="true" w:sep="false"/>
          <w:formProt w:val="false"/>
          <w:titlePg/>
          <w:textDirection w:val="lrTb"/>
          <w:docGrid w:type="default" w:linePitch="360" w:charSpace="0"/>
        </w:sectPr>
        <w:pStyle w:val="Normal"/>
        <w:tabs>
          <w:tab w:val="left" w:pos="-720" w:leader="none"/>
          <w:tab w:val="left" w:pos="0" w:leader="none"/>
          <w:tab w:val="left" w:pos="450" w:leader="none"/>
          <w:tab w:val="left" w:pos="72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 w:val="left" w:pos="450" w:leader="none"/>
          <w:tab w:val="left" w:pos="900" w:leader="none"/>
        </w:tabs>
        <w:spacing w:before="0" w:after="64"/>
        <w:ind w:hanging="720" w:start="720" w:end="0"/>
        <w:jc w:val="center"/>
        <w:rPr>
          <w:b/>
          <w:sz w:val="16"/>
        </w:rPr>
      </w:pPr>
      <w:r>
        <w:rPr>
          <w:b/>
          <w:sz w:val="16"/>
        </w:rPr>
        <w:t>"General Terms and Conditions"</w:t>
      </w:r>
    </w:p>
    <w:p>
      <w:pPr>
        <w:pStyle w:val="Normal"/>
        <w:tabs>
          <w:tab w:val="clear" w:pos="720"/>
          <w:tab w:val="left" w:pos="-720" w:leader="none"/>
          <w:tab w:val="left" w:pos="450" w:leader="none"/>
          <w:tab w:val="left" w:pos="900" w:leader="none"/>
        </w:tabs>
        <w:spacing w:before="0" w:after="64"/>
        <w:jc w:val="both"/>
        <w:rPr/>
      </w:pPr>
      <w:r>
        <w:rPr>
          <w:b/>
          <w:sz w:val="16"/>
        </w:rPr>
        <w:t xml:space="preserve">DEFINITIONS.  </w:t>
      </w:r>
      <w:r>
        <w:rPr>
          <w:sz w:val="16"/>
        </w:rPr>
        <w:t>In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General Terms and Conditions</w:t>
      </w:r>
      <w:r>
        <w:rPr>
          <w:sz w:val="16"/>
        </w:rPr>
        <w:t>"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Affiliate</w:t>
      </w:r>
      <w:r>
        <w:rPr>
          <w:sz w:val="16"/>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Agreement</w:t>
      </w:r>
      <w:r>
        <w:rPr>
          <w:sz w:val="16"/>
        </w:rPr>
        <w:t>" means the Special Terms and Conditions, together with these General Terms and, to the extent made applicable in the Special Terms and Conditions and the EPC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Barrel</w:t>
      </w:r>
      <w:r>
        <w:rPr>
          <w:sz w:val="16"/>
        </w:rPr>
        <w:t>" means 42 United States Gallons;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Business Day</w:t>
      </w:r>
      <w:r>
        <w:rPr>
          <w:sz w:val="16"/>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Buyer</w:t>
      </w:r>
      <w:r>
        <w:rPr>
          <w:sz w:val="16"/>
        </w:rPr>
        <w:t>" means the party so described in the Special Terms and Conditions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Claims</w:t>
      </w:r>
      <w:r>
        <w:rPr>
          <w:sz w:val="16"/>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Confirm Deadline</w:t>
      </w:r>
      <w:r>
        <w:rPr>
          <w:sz w:val="16"/>
        </w:rPr>
        <w:t>" means ten (10) Days after receipt by Counterparty of the Special Terms and Conditions following a Transaction;</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Contract Price</w:t>
      </w:r>
      <w:r>
        <w:rPr>
          <w:sz w:val="16"/>
        </w:rPr>
        <w:t>" means the price to be paid for the sale or purchase of Product as set forth in the Special Terms and Conditions;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Counterparty</w:t>
      </w:r>
      <w:r>
        <w:rPr>
          <w:sz w:val="16"/>
        </w:rPr>
        <w:t>" means the party to this Agreement other than EPC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Day</w:t>
      </w:r>
      <w:r>
        <w:rPr>
          <w:sz w:val="16"/>
        </w:rPr>
        <w:t>"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Location</w:t>
      </w:r>
      <w:r>
        <w:rPr>
          <w:sz w:val="16"/>
        </w:rPr>
        <w:t>" means the geographic location(s) specified in the Special Terms and Conditions where delivery of Product will take place;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Period</w:t>
      </w:r>
      <w:r>
        <w:rPr>
          <w:sz w:val="16"/>
        </w:rPr>
        <w:t>" means each time period during the Term of this Agreement as specified in the Special Terms and Conditions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Delivery Point(s)</w:t>
      </w:r>
      <w:r>
        <w:rPr>
          <w:sz w:val="16"/>
        </w:rPr>
        <w:t>" means the point(s) at the Delivery Location, determined as provided in Section 10 of the General Terms (unless otherwise designated by Seller and Buyer in the Special Terms and Conditions),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Effective Date</w:t>
      </w:r>
      <w:r>
        <w:rPr>
          <w:sz w:val="16"/>
        </w:rPr>
        <w:t>" means the date on which this Agreement becomes effective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w:t>
      </w:r>
      <w:r>
        <w:rPr>
          <w:sz w:val="16"/>
        </w:rPr>
        <w:t>" means Enron Petrochemicals Company, a division of Enron Liquid Fuels, Inc.;</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EPC Marine Provisions</w:t>
      </w:r>
      <w:r>
        <w:rPr>
          <w:sz w:val="16"/>
        </w:rPr>
        <w:t>" means the Enron Petrochemicals Company Marine Provisions Addendum: Domestic Operations,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Force Majeure</w:t>
      </w:r>
      <w:r>
        <w:rPr>
          <w:sz w:val="16"/>
        </w:rPr>
        <w:t>"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GAAP</w:t>
      </w:r>
      <w:r>
        <w:rPr>
          <w:sz w:val="16"/>
        </w:rPr>
        <w:t>"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Gallon</w:t>
      </w:r>
      <w:r>
        <w:rPr>
          <w:sz w:val="16"/>
        </w:rPr>
        <w:t>"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Interest Rate</w:t>
      </w:r>
      <w:r>
        <w:rPr>
          <w:sz w:val="16"/>
        </w:rPr>
        <w:t>"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Letter of Credit</w:t>
      </w:r>
      <w:r>
        <w:rPr>
          <w:sz w:val="16"/>
        </w:rPr>
        <w:t>"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Market Price</w:t>
      </w:r>
      <w:r>
        <w:rPr>
          <w:sz w:val="16"/>
        </w:rPr>
        <w:t>"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Material Adverse Change</w:t>
      </w:r>
      <w:r>
        <w:rPr>
          <w:sz w:val="16"/>
        </w:rPr>
        <w:t>" means: (a) with respect to EPC,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16"/>
        </w:rPr>
      </w:pPr>
      <w:r>
        <w:rPr>
          <w:sz w:val="16"/>
        </w:rPr>
        <w:t>(A)</w:t>
        <w:tab/>
        <w:t xml:space="preserve">in the reasonable opinion of EPC,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16"/>
        </w:rPr>
      </w:pPr>
      <w:r>
        <w:rPr>
          <w:sz w:val="16"/>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EPC; or</w:t>
      </w:r>
    </w:p>
    <w:p>
      <w:pPr>
        <w:pStyle w:val="Normal"/>
        <w:tabs>
          <w:tab w:val="clear" w:pos="720"/>
          <w:tab w:val="left" w:pos="-720" w:leader="none"/>
          <w:tab w:val="left" w:pos="540" w:leader="none"/>
        </w:tabs>
        <w:spacing w:before="0" w:after="64"/>
        <w:jc w:val="both"/>
        <w:rPr>
          <w:sz w:val="16"/>
        </w:rPr>
      </w:pPr>
      <w:r>
        <w:rPr>
          <w:sz w:val="16"/>
        </w:rPr>
        <w:t>(C)</w:t>
        <w:tab/>
        <w:t>any other definition of Material Adverse Change as determined by EPC's credit department and as set forth in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Month</w:t>
      </w:r>
      <w:r>
        <w:rPr>
          <w:sz w:val="16"/>
        </w:rPr>
        <w:t>" means any calendar month;</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New Taxes</w:t>
      </w:r>
      <w:r>
        <w:rPr>
          <w:sz w:val="16"/>
        </w:rPr>
        <w:t>"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s>
        <w:spacing w:before="0" w:after="72"/>
        <w:jc w:val="both"/>
        <w:rPr/>
      </w:pPr>
      <w:r>
        <w:rPr>
          <w:sz w:val="16"/>
        </w:rPr>
        <w:t>"</w:t>
      </w:r>
      <w:r>
        <w:rPr>
          <w:b/>
          <w:sz w:val="16"/>
        </w:rPr>
        <w:t>Party</w:t>
      </w:r>
      <w:r>
        <w:rPr>
          <w:sz w:val="16"/>
        </w:rPr>
        <w:t>" or "</w:t>
      </w:r>
      <w:r>
        <w:rPr>
          <w:b/>
          <w:sz w:val="16"/>
        </w:rPr>
        <w:t>Parties</w:t>
      </w:r>
      <w:r>
        <w:rPr>
          <w:sz w:val="16"/>
        </w:rPr>
        <w:t>" means, individually or together, EPC and Counterparty;</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Product</w:t>
      </w:r>
      <w:r>
        <w:rPr>
          <w:sz w:val="16"/>
        </w:rPr>
        <w:t>" means the product to be purchased, sold, or exchanged as set forth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Seller</w:t>
      </w:r>
      <w:r>
        <w:rPr>
          <w:sz w:val="16"/>
        </w:rPr>
        <w:t>" means the party so described in the Special Terms and Conditions who is obligated to sell Product.  Under an exchange agreement, all references to "Seller" shall apply to the delivering party;</w:t>
      </w:r>
    </w:p>
    <w:p>
      <w:pPr>
        <w:pStyle w:val="BodyText3"/>
        <w:rPr/>
      </w:pPr>
      <w:r>
        <w:rPr>
          <w:b/>
          <w:strike w:val="false"/>
          <w:dstrike w:val="false"/>
        </w:rPr>
        <w:t>"Special Terms and Conditions"</w:t>
      </w:r>
      <w:r>
        <w:rPr>
          <w:strike w:val="false"/>
          <w:dstrike w:val="false"/>
        </w:rPr>
        <w:t xml:space="preserve"> means the special terms and conditions of a particular Transaction for the sale or purchase of Products, including but not limited to, payment terms, price, quantity/tolerance, Products description, specifications, delivery location and delivery window shall be as set forth on this website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Taxes</w:t>
      </w:r>
      <w:r>
        <w:rPr>
          <w:sz w:val="16"/>
        </w:rPr>
        <w:t>"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Term</w:t>
      </w:r>
      <w:r>
        <w:rPr>
          <w:sz w:val="16"/>
        </w:rPr>
        <w:t>" means the term of this Agreement specified in the Special Terms and Conditions;</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Ton</w:t>
      </w:r>
      <w:r>
        <w:rPr>
          <w:sz w:val="16"/>
        </w:rPr>
        <w:t>" or "</w:t>
      </w:r>
      <w:r>
        <w:rPr>
          <w:b/>
          <w:sz w:val="16"/>
        </w:rPr>
        <w:t>MT</w:t>
      </w:r>
      <w:r>
        <w:rPr>
          <w:sz w:val="16"/>
        </w:rPr>
        <w:t>" means a metric ton of 2,204.52 English pounds; and</w:t>
      </w:r>
    </w:p>
    <w:p>
      <w:pPr>
        <w:pStyle w:val="Normal"/>
        <w:tabs>
          <w:tab w:val="clear" w:pos="720"/>
          <w:tab w:val="left" w:pos="-720" w:leader="none"/>
          <w:tab w:val="left" w:pos="450" w:leader="none"/>
          <w:tab w:val="left" w:pos="900" w:leader="none"/>
        </w:tabs>
        <w:spacing w:before="0" w:after="64"/>
        <w:jc w:val="both"/>
        <w:rPr/>
      </w:pPr>
      <w:r>
        <w:rPr>
          <w:sz w:val="16"/>
        </w:rPr>
        <w:t>"</w:t>
      </w:r>
      <w:r>
        <w:rPr>
          <w:b/>
          <w:sz w:val="16"/>
        </w:rPr>
        <w:t>Transaction</w:t>
      </w:r>
      <w:r>
        <w:rPr>
          <w:sz w:val="16"/>
        </w:rPr>
        <w:t>" means an agreement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16"/>
        </w:rPr>
      </w:pPr>
      <w:r>
        <w:rPr>
          <w:sz w:val="16"/>
        </w:rPr>
        <w:t xml:space="preserve">Other terms are elsewhere defined in this Agreement and shall, for purposes of this Agreement, have the meanings so specified unless the context otherwise requires. </w:t>
      </w:r>
    </w:p>
    <w:p>
      <w:pPr>
        <w:sectPr>
          <w:headerReference w:type="default" r:id="rId6"/>
          <w:headerReference w:type="first" r:id="rId7"/>
          <w:footerReference w:type="default" r:id="rId8"/>
          <w:footerReference w:type="first" r:id="rId9"/>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ind w:hanging="720" w:start="720" w:end="0"/>
        <w:jc w:val="center"/>
        <w:rPr>
          <w:b/>
          <w:sz w:val="16"/>
          <w:u w:val="single"/>
        </w:rPr>
      </w:pPr>
      <w:r>
        <w:rPr>
          <w:b/>
          <w:sz w:val="16"/>
          <w:u w:val="single"/>
        </w:rPr>
        <w:t>APPENDIX II</w:t>
      </w:r>
    </w:p>
    <w:p>
      <w:pPr>
        <w:pStyle w:val="Normal"/>
        <w:tabs>
          <w:tab w:val="clear" w:pos="720"/>
          <w:tab w:val="left" w:pos="-720" w:leader="none"/>
          <w:tab w:val="left" w:pos="450" w:leader="none"/>
          <w:tab w:val="left" w:pos="900" w:leader="none"/>
        </w:tabs>
        <w:ind w:hanging="720" w:start="720" w:end="0"/>
        <w:jc w:val="center"/>
        <w:rPr>
          <w:b/>
          <w:sz w:val="16"/>
        </w:rPr>
      </w:pPr>
      <w:r>
        <w:rPr>
          <w:b/>
          <w:sz w:val="16"/>
        </w:rPr>
        <w:t>to</w:t>
      </w:r>
    </w:p>
    <w:p>
      <w:pPr>
        <w:pStyle w:val="Normal"/>
        <w:tabs>
          <w:tab w:val="clear" w:pos="720"/>
          <w:tab w:val="left" w:pos="-720" w:leader="none"/>
          <w:tab w:val="left" w:pos="450" w:leader="none"/>
          <w:tab w:val="left" w:pos="900" w:leader="none"/>
        </w:tabs>
        <w:ind w:hanging="720" w:start="720" w:end="0"/>
        <w:jc w:val="center"/>
        <w:rPr>
          <w:b/>
          <w:sz w:val="16"/>
        </w:rPr>
      </w:pPr>
      <w:r>
        <w:rPr>
          <w:b/>
          <w:sz w:val="16"/>
        </w:rPr>
        <w:t>ENRON PETROCHEMICALS COMPANY</w:t>
      </w:r>
    </w:p>
    <w:p>
      <w:pPr>
        <w:pStyle w:val="Normal"/>
        <w:tabs>
          <w:tab w:val="clear" w:pos="720"/>
          <w:tab w:val="left" w:pos="-720" w:leader="none"/>
        </w:tabs>
        <w:spacing w:before="0" w:after="120"/>
        <w:jc w:val="center"/>
        <w:rPr>
          <w:b/>
          <w:sz w:val="16"/>
        </w:rPr>
      </w:pPr>
      <w:r>
        <w:rPr>
          <w:b/>
          <w:sz w:val="16"/>
        </w:rPr>
        <w:t>a division of Enron Liquid Fuels, Inc.</w:t>
      </w:r>
    </w:p>
    <w:p>
      <w:pPr>
        <w:pStyle w:val="BodyText"/>
        <w:rPr/>
      </w:pPr>
      <w:r>
        <w:rPr/>
        <w:t>MARINE PROVISIONS ADDENDUM: DOMESTIC OPERATIONS</w:t>
      </w:r>
    </w:p>
    <w:p>
      <w:pPr>
        <w:pStyle w:val="Normal"/>
        <w:tabs>
          <w:tab w:val="clear" w:pos="720"/>
          <w:tab w:val="left" w:pos="-720" w:leader="none"/>
        </w:tabs>
        <w:jc w:val="both"/>
        <w:rPr>
          <w:sz w:val="20"/>
        </w:rPr>
      </w:pPr>
      <w:r>
        <w:rPr>
          <w:sz w:val="20"/>
        </w:rPr>
      </w:r>
    </w:p>
    <w:p>
      <w:pPr>
        <w:pStyle w:val="Normal"/>
        <w:spacing w:before="0" w:after="120"/>
        <w:jc w:val="both"/>
        <w:rPr/>
      </w:pPr>
      <w:r>
        <w:rPr>
          <w:b/>
          <w:sz w:val="16"/>
        </w:rPr>
        <w:t>GENERAL</w:t>
      </w:r>
      <w:r>
        <w:rPr>
          <w:sz w:val="16"/>
        </w:rPr>
        <w:t xml:space="preserve"> -- To the extent that these Marine Provisions become effective between Seller and Buyer, INCOTERMS 2000 shall also apply.  When used in these Marine Provisions, capitalized terms defined in the Special Terms and Conditions and EPC General Terms shall have the meanings as set forth therein, unless expressly indicated otherwise herein.</w:t>
      </w:r>
    </w:p>
    <w:p>
      <w:pPr>
        <w:pStyle w:val="Normal"/>
        <w:tabs>
          <w:tab w:val="clear" w:pos="720"/>
          <w:tab w:val="left" w:pos="-720" w:leader="none"/>
        </w:tabs>
        <w:spacing w:before="0" w:after="120"/>
        <w:jc w:val="both"/>
        <w:rPr>
          <w:sz w:val="16"/>
        </w:rPr>
      </w:pPr>
      <w:r>
        <w:rPr>
          <w:sz w:val="16"/>
        </w:rPr>
        <w:t>The term "cargo" as used in these Marine Provisions refers to any Product described in the Special Terms and Conditions.</w:t>
      </w:r>
    </w:p>
    <w:p>
      <w:pPr>
        <w:pStyle w:val="Normal"/>
        <w:tabs>
          <w:tab w:val="clear" w:pos="720"/>
          <w:tab w:val="left" w:pos="-720" w:leader="none"/>
        </w:tabs>
        <w:spacing w:before="0" w:after="120"/>
        <w:jc w:val="both"/>
        <w:rPr>
          <w:sz w:val="16"/>
        </w:rPr>
      </w:pPr>
      <w:r>
        <w:rPr>
          <w:sz w:val="16"/>
        </w:rPr>
        <w:t>The term "terminal" as used in these Marine Provisions refers to the plant or terminal facility delivering or receiving the cargo referenced to in the Special Terms and Conditions.</w:t>
      </w:r>
    </w:p>
    <w:p>
      <w:pPr>
        <w:pStyle w:val="Normal"/>
        <w:tabs>
          <w:tab w:val="clear" w:pos="720"/>
          <w:tab w:val="left" w:pos="-720" w:leader="none"/>
        </w:tabs>
        <w:spacing w:before="0" w:after="120"/>
        <w:jc w:val="both"/>
        <w:rPr>
          <w:sz w:val="16"/>
        </w:rPr>
      </w:pPr>
      <w:r>
        <w:rPr>
          <w:sz w:val="16"/>
        </w:rPr>
        <w:t xml:space="preserve">The term "vessel" as used in these Marine Provisions refers to any barge, tow, ocean-going barge or ocean tanker, collectively.  The term "tow" refers to any combination of boats or barges with the ability to function as a single unit.  A vessel shall know the terminal requirements for maximum vessel dimensions at the terminal loading berth before receiving or delivering cargo at the terminal and shall comply with the same.  Obligations of the vessel designated under these Marine Provisions shall be the obligations of the vessel's charterer, owner, or operator that is a party to the Agreement. </w:t>
      </w:r>
    </w:p>
    <w:p>
      <w:pPr>
        <w:pStyle w:val="Normal"/>
        <w:tabs>
          <w:tab w:val="clear" w:pos="720"/>
          <w:tab w:val="left" w:pos="-720" w:leader="none"/>
        </w:tabs>
        <w:spacing w:before="0" w:after="120"/>
        <w:jc w:val="both"/>
        <w:rPr>
          <w:sz w:val="16"/>
        </w:rPr>
      </w:pPr>
      <w:r>
        <w:rPr>
          <w:sz w:val="16"/>
        </w:rPr>
        <w:t>The term "USCG" as used in these Marine Provisions refers to the United States Coast Guard.</w:t>
      </w:r>
    </w:p>
    <w:p>
      <w:pPr>
        <w:pStyle w:val="Normal"/>
        <w:spacing w:before="0" w:after="120"/>
        <w:jc w:val="both"/>
        <w:rPr/>
      </w:pPr>
      <w:r>
        <w:rPr>
          <w:b/>
          <w:sz w:val="16"/>
        </w:rPr>
        <w:t>DELIVERY; DELIVERY POINT</w:t>
      </w:r>
      <w:r>
        <w:rPr>
          <w:sz w:val="16"/>
        </w:rPr>
        <w:t xml:space="preserve"> -- Shipment of the cargo shall be from a terminal designated by the delivering party into a vessel nominated by the receiving party or by a vessel nominated by the delivering party to a port of discharge designated by the receiving party in accordance with the provisions contained in the Special Terms and Conditions.  The Delivery Point shall be located, and delivery of cargo shall be deemed to occur, at the point at which the cargo passes the flange connection between the vessel's cargo manifold and the shoreline connection at the port of loading, unless otherwise stated in the Special Terms and Conditions.</w:t>
      </w:r>
    </w:p>
    <w:p>
      <w:pPr>
        <w:pStyle w:val="Normal"/>
        <w:spacing w:before="0" w:after="120"/>
        <w:jc w:val="both"/>
        <w:rPr/>
      </w:pPr>
      <w:r>
        <w:rPr>
          <w:b/>
          <w:sz w:val="16"/>
        </w:rPr>
        <w:t>CLEANING</w:t>
      </w:r>
      <w:r>
        <w:rPr>
          <w:sz w:val="16"/>
        </w:rPr>
        <w:t xml:space="preserve"> -- The vessel's tanks, pumps, valves, pipes, and lines shall be cleaned to the quality and quantity independent inspector's reasonable satisfaction.</w:t>
      </w:r>
    </w:p>
    <w:p>
      <w:pPr>
        <w:pStyle w:val="Normal"/>
        <w:spacing w:before="0" w:after="120"/>
        <w:jc w:val="both"/>
        <w:rPr/>
      </w:pPr>
      <w:r>
        <w:rPr>
          <w:b/>
          <w:sz w:val="16"/>
        </w:rPr>
        <w:t>VESSEL NOMINATION AND APPROVAL</w:t>
      </w:r>
      <w:r>
        <w:rPr>
          <w:sz w:val="16"/>
        </w:rPr>
        <w:t xml:space="preserve"> -- The terminal shall be notified by facsimile, telegram, or telex of each vessel nominated, not less than seven (7) days prior to the expected arrival date.  All vessels nominated shall meet the general vessel requirements of the terminal which shall receive or deliver the cargo.  Acceptance or rejection of the nominated vessel by the relevant party shall be communicated to the other party within forty-eight (48) hours, excluding Saturdays, Sundays and holidays, after receipt of nomination.  No nomination, acceptance, or confirmation will be deemed to be a waiver of the general vessel requirements of the terminal.  Acceptance of any vessel shall not constitute a continuing acceptance of such vessel for any subsequent loading or discharging.</w:t>
      </w:r>
    </w:p>
    <w:p>
      <w:pPr>
        <w:pStyle w:val="Normal"/>
        <w:spacing w:before="0" w:after="120"/>
        <w:jc w:val="both"/>
        <w:rPr/>
      </w:pPr>
      <w:r>
        <w:rPr>
          <w:b/>
          <w:sz w:val="16"/>
        </w:rPr>
        <w:t>SAFE BERTH AVAILABILITY</w:t>
      </w:r>
      <w:r>
        <w:rPr>
          <w:sz w:val="16"/>
        </w:rPr>
        <w:t xml:space="preserve"> -- A nominated and accepted vessel shall be provided with a berth free of all wharfage, dockage, tariff and quay dues (hereinafter referred to collectively as "Fees") incurred for normal cargo transfers.  These Fees, however, will be charged to vessels that cause delays or expense that, by the exercise of due diligence, the vessel owner/operator shall have been able to avoid or overcome.  All duties and other charges on the vessel (including without limitation, those incurred for the tugs and pilots), other port costs, and taxes on freight shall be borne by the vessel.  The berth provided shall be a safe berth to which vessels may proceed to or depart from, and where the vessel can always lie safely afloat.  However, notwithstanding anything contained elsewhere in this clause, no party hereto shall be deemed to warrant the safety of public channels, fairways, approaches thereto, anchorages, or other publicly-maintained area either inside or outside the port area where the vessel may be directed.</w:t>
      </w:r>
    </w:p>
    <w:p>
      <w:pPr>
        <w:pStyle w:val="Normal"/>
        <w:spacing w:before="0" w:after="120"/>
        <w:jc w:val="both"/>
        <w:rPr/>
      </w:pPr>
      <w:r>
        <w:rPr>
          <w:b/>
          <w:sz w:val="16"/>
        </w:rPr>
        <w:t>NOTICE OF ARRIVAL TIME</w:t>
      </w:r>
      <w:r>
        <w:rPr>
          <w:sz w:val="16"/>
        </w:rPr>
        <w:t xml:space="preserve"> -- The vessel shall notify the terminal and the other parties hereto of the estimated time of arrival ("ETA") by facsimile, telegram, or telex within twenty-four (24) hours after the vessel has sailed from its last port or facility prior to calling at the terminal, or as soon as the ETA is available.  The vessel shall similarly notify the terminal, and the other parties hereto, of the ETA approximately 72, 48, and 24 hours before the vessel's expected arrival.  The vessel shall promptly notify the terminal of a new ETA if the ETA changes by plus or minus three (3) hours or more following the twenty-four (24) hour arrival notice.  EPC has the option not to accept any vessel for loading or discharge that arrives more than twelve (12) hours before or after the arrival time that had been last agreed upon by the parties hereto.</w:t>
      </w:r>
    </w:p>
    <w:p>
      <w:pPr>
        <w:pStyle w:val="Normal"/>
        <w:spacing w:before="0" w:after="120"/>
        <w:jc w:val="both"/>
        <w:rPr/>
      </w:pPr>
      <w:r>
        <w:rPr>
          <w:b/>
          <w:sz w:val="16"/>
        </w:rPr>
        <w:t>NOTICE OF READINESS</w:t>
      </w:r>
      <w:r>
        <w:rPr>
          <w:sz w:val="16"/>
        </w:rPr>
        <w:t xml:space="preserve"> -- After the vessel has arrived at the customary anchorage in the load or discharge port, and in all respects is ready to proceed to the berth to commence loading or discharging cargo, the vessel master or his agent shall give the terminal and the other parties hereto notice by letter, telegraph, telex, or facsimile that the vessel is ready to load or discharge cargo, as the case may be, berth or no berth.</w:t>
      </w:r>
    </w:p>
    <w:p>
      <w:pPr>
        <w:pStyle w:val="Normal"/>
        <w:tabs>
          <w:tab w:val="clear" w:pos="720"/>
          <w:tab w:val="left" w:pos="-720" w:leader="none"/>
        </w:tabs>
        <w:spacing w:before="0" w:after="120"/>
        <w:jc w:val="both"/>
        <w:rPr/>
      </w:pPr>
      <w:r>
        <w:rPr>
          <w:b/>
          <w:sz w:val="16"/>
        </w:rPr>
        <w:t>LAYTIME</w:t>
      </w:r>
      <w:r>
        <w:rPr>
          <w:sz w:val="16"/>
        </w:rPr>
        <w:t xml:space="preserve"> -- Laytime shall not commence prior to the date stipulated at the time the vessel is nominated and accepted, except with the terminal's sanction.  In such case, laytime shall commence when the vessel has been approved for berthing and is secured to the berth by terminal personnel.</w:t>
      </w:r>
    </w:p>
    <w:p>
      <w:pPr>
        <w:pStyle w:val="Normal"/>
        <w:tabs>
          <w:tab w:val="clear" w:pos="720"/>
          <w:tab w:val="left" w:pos="-720" w:leader="none"/>
        </w:tabs>
        <w:spacing w:before="0" w:after="120"/>
        <w:jc w:val="both"/>
        <w:rPr>
          <w:sz w:val="16"/>
        </w:rPr>
      </w:pPr>
      <w:r>
        <w:rPr>
          <w:sz w:val="16"/>
        </w:rPr>
        <w:t>Ordinarily, laytime shall commence six (6) hours after receipt of vessel's Notice of Readiness, provided that the vessel has been accepted for loading or discharge by the terminal, or when the vessel has been approved for berthing and is secured to the berth by terminal personnel, whichever occurs first.</w:t>
      </w:r>
    </w:p>
    <w:p>
      <w:pPr>
        <w:pStyle w:val="Normal"/>
        <w:tabs>
          <w:tab w:val="clear" w:pos="720"/>
          <w:tab w:val="left" w:pos="-720" w:leader="none"/>
        </w:tabs>
        <w:spacing w:before="0" w:after="120"/>
        <w:jc w:val="both"/>
        <w:rPr>
          <w:sz w:val="16"/>
        </w:rPr>
      </w:pPr>
      <w:r>
        <w:rPr>
          <w:sz w:val="16"/>
        </w:rPr>
        <w:t>Laytime for vessels arriving more than forty-eight (48) hours after the date originally nominated and accepted by the terminal shall commence when the vessel has been approved for berthing and is secured to the berth by terminal personnel, or twenty-four (24) hours after arrival and tendering of the Notice of Readiness if EPC elects to accept late vessels.</w:t>
      </w:r>
    </w:p>
    <w:p>
      <w:pPr>
        <w:pStyle w:val="Normal"/>
        <w:tabs>
          <w:tab w:val="clear" w:pos="720"/>
          <w:tab w:val="left" w:pos="-720" w:leader="none"/>
        </w:tabs>
        <w:spacing w:before="0" w:after="120"/>
        <w:jc w:val="both"/>
        <w:rPr/>
      </w:pPr>
      <w:r>
        <w:rPr>
          <w:sz w:val="16"/>
        </w:rPr>
        <w:t xml:space="preserve">Time consumed in the following situations shall </w:t>
      </w:r>
      <w:r>
        <w:rPr>
          <w:sz w:val="16"/>
          <w:u w:val="single"/>
        </w:rPr>
        <w:t>not</w:t>
      </w:r>
      <w:r>
        <w:rPr>
          <w:sz w:val="16"/>
        </w:rPr>
        <w:t xml:space="preserve"> count as used laytime:</w:t>
      </w:r>
    </w:p>
    <w:p>
      <w:pPr>
        <w:pStyle w:val="Normal"/>
        <w:tabs>
          <w:tab w:val="left" w:pos="-720" w:leader="none"/>
          <w:tab w:val="left" w:pos="0" w:leader="none"/>
          <w:tab w:val="left" w:pos="720" w:leader="none"/>
        </w:tabs>
        <w:spacing w:before="0" w:after="120"/>
        <w:ind w:hanging="720" w:start="1440" w:end="0"/>
        <w:jc w:val="both"/>
        <w:rPr>
          <w:sz w:val="16"/>
        </w:rPr>
      </w:pPr>
      <w:r>
        <w:rPr>
          <w:sz w:val="16"/>
        </w:rPr>
        <w:t>A.</w:t>
        <w:tab/>
        <w:t>time consumed by the vessel in moving from port anchorage to the receiving or discharging berth;</w:t>
      </w:r>
    </w:p>
    <w:p>
      <w:pPr>
        <w:pStyle w:val="Normal"/>
        <w:tabs>
          <w:tab w:val="left" w:pos="-720" w:leader="none"/>
          <w:tab w:val="left" w:pos="0" w:leader="none"/>
          <w:tab w:val="left" w:pos="720" w:leader="none"/>
        </w:tabs>
        <w:spacing w:before="0" w:after="120"/>
        <w:ind w:hanging="720" w:start="1440" w:end="0"/>
        <w:jc w:val="both"/>
        <w:rPr>
          <w:sz w:val="16"/>
        </w:rPr>
      </w:pPr>
      <w:r>
        <w:rPr>
          <w:sz w:val="16"/>
        </w:rPr>
        <w:t>B.</w:t>
        <w:tab/>
        <w:t>delay due to prohibition of cargo transfer at any time by the vessel, the owner or operator of the vessel, or by port authorities, unless such prohibition is caused by the terminal's failure to comply with applicable laws or regulations;</w:t>
      </w:r>
    </w:p>
    <w:p>
      <w:pPr>
        <w:pStyle w:val="Normal"/>
        <w:tabs>
          <w:tab w:val="left" w:pos="-720" w:leader="none"/>
          <w:tab w:val="left" w:pos="0" w:leader="none"/>
          <w:tab w:val="left" w:pos="720" w:leader="none"/>
        </w:tabs>
        <w:spacing w:before="0" w:after="120"/>
        <w:ind w:hanging="720" w:start="1440" w:end="0"/>
        <w:jc w:val="both"/>
        <w:rPr>
          <w:sz w:val="16"/>
        </w:rPr>
      </w:pPr>
      <w:r>
        <w:rPr>
          <w:sz w:val="16"/>
        </w:rPr>
        <w:t>C.</w:t>
        <w:tab/>
        <w:t>failure to have the required certificate of financial responsibility, or failure to be in compliance with USCG regulations (or hold the necessary waiver if not in compliance), or failure to have other required documentation;</w:t>
      </w:r>
    </w:p>
    <w:p>
      <w:pPr>
        <w:pStyle w:val="Normal"/>
        <w:tabs>
          <w:tab w:val="left" w:pos="-720" w:leader="none"/>
          <w:tab w:val="left" w:pos="0" w:leader="none"/>
          <w:tab w:val="left" w:pos="720" w:leader="none"/>
        </w:tabs>
        <w:spacing w:before="0" w:after="120"/>
        <w:ind w:hanging="720" w:start="1440" w:end="0"/>
        <w:jc w:val="both"/>
        <w:rPr>
          <w:sz w:val="16"/>
        </w:rPr>
      </w:pPr>
      <w:r>
        <w:rPr>
          <w:sz w:val="16"/>
        </w:rPr>
        <w:t>D.</w:t>
        <w:tab/>
        <w:t>any delay caused by strike, lockout, stoppage, or restraint of labor of the master, officers, and crew of the vessel or towboat or pilots;</w:t>
      </w:r>
    </w:p>
    <w:p>
      <w:pPr>
        <w:pStyle w:val="Normal"/>
        <w:tabs>
          <w:tab w:val="left" w:pos="-720" w:leader="none"/>
          <w:tab w:val="left" w:pos="0" w:leader="none"/>
          <w:tab w:val="left" w:pos="720" w:leader="none"/>
        </w:tabs>
        <w:spacing w:before="0" w:after="120"/>
        <w:ind w:hanging="720" w:start="1440" w:end="0"/>
        <w:jc w:val="both"/>
        <w:rPr>
          <w:sz w:val="16"/>
        </w:rPr>
      </w:pPr>
      <w:r>
        <w:rPr>
          <w:sz w:val="16"/>
        </w:rPr>
        <w:t>E.</w:t>
        <w:tab/>
        <w:t>any delay for which the vessel, her master, or crew is responsible; and</w:t>
      </w:r>
    </w:p>
    <w:p>
      <w:pPr>
        <w:pStyle w:val="Normal"/>
        <w:tabs>
          <w:tab w:val="left" w:pos="-720" w:leader="none"/>
          <w:tab w:val="left" w:pos="0" w:leader="none"/>
          <w:tab w:val="left" w:pos="720" w:leader="none"/>
        </w:tabs>
        <w:spacing w:before="0" w:after="120"/>
        <w:ind w:hanging="720" w:start="1440" w:end="0"/>
        <w:jc w:val="both"/>
        <w:rPr>
          <w:sz w:val="16"/>
        </w:rPr>
      </w:pPr>
      <w:r>
        <w:rPr>
          <w:sz w:val="16"/>
        </w:rPr>
        <w:t>F.</w:t>
        <w:tab/>
        <w:t>delay in reaching or clearing the berth caused by conditions not reasonably within the terminal's control, i.e., weather delays.</w:t>
      </w:r>
    </w:p>
    <w:p>
      <w:pPr>
        <w:pStyle w:val="Normal"/>
        <w:tabs>
          <w:tab w:val="clear" w:pos="720"/>
          <w:tab w:val="left" w:pos="-720" w:leader="none"/>
          <w:tab w:val="left" w:pos="0" w:leader="none"/>
        </w:tabs>
        <w:spacing w:before="0" w:after="120"/>
        <w:jc w:val="both"/>
        <w:rPr>
          <w:sz w:val="16"/>
        </w:rPr>
      </w:pPr>
      <w:r>
        <w:rPr>
          <w:sz w:val="16"/>
        </w:rPr>
        <w:t>Laytime shall cease upon disconnection of hoses after all cargo has been discharged or received.  The vessel shall vacate the berth expeditiously, consistent with safe operating practices (unless permission to remain is expressly granted by the terminal).</w:t>
      </w:r>
    </w:p>
    <w:p>
      <w:pPr>
        <w:pStyle w:val="Normal"/>
        <w:spacing w:before="0" w:after="120"/>
        <w:jc w:val="both"/>
        <w:rPr>
          <w:sz w:val="16"/>
        </w:rPr>
      </w:pPr>
      <w:r>
        <w:rPr>
          <w:sz w:val="16"/>
        </w:rPr>
        <w:t>The terminal shall have the right to shift a vessel from one berth to another or to anchorage.  Expenses incurred in such shifting or anchoring of vessels shall be for the terminal's account, with the time consumed in shifting counted as used laytime.  Expenses incurred for any shifting of the vessel within a port by one of the parties hereto for the sole convenience of said party shall be handled in accordance with provisions contained elsewhere in this Agreement.</w:t>
      </w:r>
    </w:p>
    <w:p>
      <w:pPr>
        <w:pStyle w:val="Normal"/>
        <w:spacing w:before="0" w:after="120"/>
        <w:jc w:val="both"/>
        <w:rPr>
          <w:sz w:val="16"/>
        </w:rPr>
      </w:pPr>
      <w:r>
        <w:rPr>
          <w:sz w:val="16"/>
        </w:rPr>
        <w:t>The terminal may order the vessel to vacate its berth if it appears that the vessel will not, because of the vessel's disability, be able to complete loading or discharge of cargo within thirty-six (36) hours of the vessel's arrival in berth; provided, however, that the vessel shall not be required to vacate a berth unless that berth is needed to accommodate another vessel.  Upon vacating the berth, used laytime shall cease, and the vessel, after tendering notice of readiness to recommence loading or discharging, shall be reberthed in order of rotation as provided herein, and used laytime shall resume upon the vessel's reberthing (all fast).</w:t>
      </w:r>
    </w:p>
    <w:p>
      <w:pPr>
        <w:pStyle w:val="Normal"/>
        <w:spacing w:before="0" w:after="120"/>
        <w:jc w:val="both"/>
        <w:rPr>
          <w:sz w:val="16"/>
        </w:rPr>
      </w:pPr>
      <w:r>
        <w:rPr>
          <w:sz w:val="16"/>
        </w:rPr>
        <w:t>Permitted laytime shall consist of:</w:t>
      </w:r>
    </w:p>
    <w:p>
      <w:pPr>
        <w:pStyle w:val="Normal"/>
        <w:keepNext w:val="true"/>
        <w:tabs>
          <w:tab w:val="clear" w:pos="720"/>
          <w:tab w:val="left" w:pos="-720" w:leader="none"/>
        </w:tabs>
        <w:spacing w:before="0" w:after="120"/>
        <w:ind w:start="720" w:end="0"/>
        <w:jc w:val="both"/>
        <w:rPr>
          <w:sz w:val="16"/>
        </w:rPr>
      </w:pPr>
      <w:r>
        <w:rPr>
          <w:sz w:val="16"/>
        </w:rPr>
        <w:t>the time required to prepare for loading, including connecting loading hoses and preinspection of the vessel by the inspector, for which two (2) hours shall be allowed, plus</w:t>
      </w:r>
    </w:p>
    <w:p>
      <w:pPr>
        <w:pStyle w:val="Normal"/>
        <w:tabs>
          <w:tab w:val="clear" w:pos="720"/>
          <w:tab w:val="left" w:pos="-720" w:leader="none"/>
        </w:tabs>
        <w:spacing w:before="0" w:after="120"/>
        <w:ind w:start="720" w:end="0"/>
        <w:jc w:val="both"/>
        <w:rPr>
          <w:sz w:val="16"/>
        </w:rPr>
      </w:pPr>
      <w:r>
        <w:rPr>
          <w:sz w:val="16"/>
        </w:rPr>
        <w:t>the time required for actual cargo loading for which the time allowed shall be calculated based on the minimum loading rates by product as are customary and usual in the industry, plus</w:t>
      </w:r>
    </w:p>
    <w:p>
      <w:pPr>
        <w:pStyle w:val="Normal"/>
        <w:tabs>
          <w:tab w:val="clear" w:pos="720"/>
          <w:tab w:val="left" w:pos="-720" w:leader="none"/>
        </w:tabs>
        <w:spacing w:before="0" w:after="120"/>
        <w:ind w:start="720" w:end="0"/>
        <w:jc w:val="both"/>
        <w:rPr>
          <w:sz w:val="16"/>
        </w:rPr>
      </w:pPr>
      <w:r>
        <w:rPr>
          <w:sz w:val="16"/>
        </w:rPr>
        <w:t>the time required to disconnect loading hoses and for the inspector or shore authorities to release the vessel, for which two (2) hours shall be allowed.</w:t>
      </w:r>
    </w:p>
    <w:p>
      <w:pPr>
        <w:pStyle w:val="Normal"/>
        <w:spacing w:before="0" w:after="120"/>
        <w:jc w:val="both"/>
        <w:rPr/>
      </w:pPr>
      <w:r>
        <w:rPr>
          <w:b/>
          <w:sz w:val="16"/>
        </w:rPr>
        <w:t>DEMURRAGE -</w:t>
      </w:r>
      <w:r>
        <w:rPr>
          <w:sz w:val="16"/>
        </w:rPr>
        <w:t>- Demurrage (including fleeting charges if incurred) shall be payable by the responsible party for each running hour and pro rata for each part of an hour, for all time that used laytime exceeds the permitted laytime (as defined above) at the demurrage rate specified in the vessel's transportation contract or at any previously negotiated rate specified in the Special Terms and Conditions.  Such rate shall not exceed the customary and reasonable rate for the charter of like kind and size vessels in the area.  For demurrage purposes, all barges or tows operating as a unit shall be considered collectively as one barge or tow.</w:t>
      </w:r>
    </w:p>
    <w:p>
      <w:pPr>
        <w:pStyle w:val="Normal"/>
        <w:spacing w:before="0" w:after="120"/>
        <w:jc w:val="both"/>
        <w:rPr/>
      </w:pPr>
      <w:r>
        <w:rPr>
          <w:b/>
          <w:sz w:val="16"/>
        </w:rPr>
        <w:t>EXCEPTIONS AND "FORCE MAJEURE"</w:t>
      </w:r>
      <w:r>
        <w:rPr>
          <w:sz w:val="16"/>
        </w:rPr>
        <w:t xml:space="preserve"> -- Demurrage incurred by reason of an event not reasonably within the control of the party claiming suspension (including, but not limited to, an Act of God, storm, or lightning), or by an explosion, fire, strike, lockout, stoppage or restraint of labor, or by breakdown of machinery or equipment in or about the terminal, shall be paid for at one-half the demurrage rate provided herein.</w:t>
      </w:r>
    </w:p>
    <w:p>
      <w:pPr>
        <w:pStyle w:val="Normal"/>
        <w:spacing w:before="0" w:after="120"/>
        <w:jc w:val="both"/>
        <w:rPr/>
      </w:pPr>
      <w:r>
        <w:rPr>
          <w:b/>
          <w:sz w:val="16"/>
        </w:rPr>
        <w:t>DOCUMENTATION AND FILING OF DEMURRAGE CLAIMS</w:t>
      </w:r>
      <w:r>
        <w:rPr>
          <w:sz w:val="16"/>
        </w:rPr>
        <w:t xml:space="preserve"> -- Demurrage claims shall be submitted in the form of an invoice accompanied by a copy of the vessel's port log signed by the master, a copy of the vessel's demurrage invoice, as well as such supporting data as may be reasonably requested.  Any demurrage invoice by the owed party must be submitted in writing, with supporting documentation, within ninety (90) days from the date of completion of loading or discharging, or the party's demurrage claim will be barred.  Valid demurrage charges between EPC and Counterparty will be due by the owing party no later than thirty (30) days from receipt of invoice and supporting documents.  Valid demurrage charges involving EPC, Counterparty, and a third party will be due by the owing party no later than ninety (90) days from receipt of invoice and supporting documents.  Demurrage charges shall be presumed to be valid if not objected to in writing by the owing party hereto and a third party within the time specified above.  The failure of the owing party to collect demurrage from a third party shall not be an excuse or defense to a claim for payment by the owed party.</w:t>
      </w:r>
    </w:p>
    <w:p>
      <w:pPr>
        <w:pStyle w:val="Normal"/>
        <w:spacing w:before="0" w:after="120"/>
        <w:jc w:val="both"/>
        <w:rPr/>
      </w:pPr>
      <w:r>
        <w:rPr>
          <w:b/>
          <w:sz w:val="16"/>
        </w:rPr>
        <w:t>HOSES/LOADING CONNECTIONS</w:t>
      </w:r>
      <w:r>
        <w:rPr>
          <w:sz w:val="16"/>
        </w:rPr>
        <w:t xml:space="preserve"> -- Hoses for loading or discharging, as the case may be, shall be furnished by the terminal and shall be connected and disconnected by the terminal, or at the option of the vessel, by the vessel, at the vessel's sole risk and expense.  Flanges for hose connections should be at or near the vessel's dock side rail.  Crossover hoses between barges shall be furnished and connected by the barges at the barges' sole risk and expense.</w:t>
      </w:r>
    </w:p>
    <w:p>
      <w:pPr>
        <w:pStyle w:val="Normal"/>
        <w:spacing w:before="0" w:after="120"/>
        <w:jc w:val="both"/>
        <w:rPr/>
      </w:pPr>
      <w:r>
        <w:rPr>
          <w:b/>
          <w:sz w:val="16"/>
        </w:rPr>
        <w:t>OPERATIONS</w:t>
      </w:r>
      <w:r>
        <w:rPr>
          <w:sz w:val="16"/>
        </w:rPr>
        <w:t xml:space="preserve"> -- The terminal, if controlled by either party hereto, shall provide a shore tankerman to control the loading or discharging operations for vessels.  The vessel shall provide a tankerman for each vessel during loading or discharging.  The towboat for barges shall standby at all times while the vessel is at the terminal berth.</w:t>
      </w:r>
    </w:p>
    <w:p>
      <w:pPr>
        <w:pStyle w:val="Normal"/>
        <w:spacing w:before="0" w:after="120"/>
        <w:jc w:val="both"/>
        <w:rPr/>
      </w:pPr>
      <w:r>
        <w:rPr>
          <w:b/>
          <w:sz w:val="16"/>
        </w:rPr>
        <w:t>WHARF DAMAGE</w:t>
      </w:r>
      <w:r>
        <w:rPr>
          <w:sz w:val="16"/>
        </w:rPr>
        <w:t xml:space="preserve"> -- Vessels assume full responsibility for any damage sustained by wharves, berths, or docks owned, operated, or maintained by the terminal arising out of the negligent and/or improper operation of any waterborne craft, either owned or operated by vessels or being operated by subcontractors of vessels.  Vessels will fully and completely indemnify the terminal for any such damages.</w:t>
      </w:r>
    </w:p>
    <w:p>
      <w:pPr>
        <w:pStyle w:val="Normal"/>
        <w:spacing w:before="0" w:after="120"/>
        <w:jc w:val="both"/>
        <w:rPr/>
      </w:pPr>
      <w:r>
        <w:rPr>
          <w:b/>
          <w:sz w:val="16"/>
        </w:rPr>
        <w:t>VESSEL CONSTRUCTION</w:t>
      </w:r>
      <w:r>
        <w:rPr>
          <w:sz w:val="16"/>
        </w:rPr>
        <w:t xml:space="preserve"> -- All flanges, fittings, spool pieces, and/or reducers must be of steel construction.</w:t>
      </w:r>
    </w:p>
    <w:p>
      <w:pPr>
        <w:pStyle w:val="Normal"/>
        <w:spacing w:before="0" w:after="120"/>
        <w:jc w:val="both"/>
        <w:rPr/>
      </w:pPr>
      <w:r>
        <w:rPr>
          <w:b/>
          <w:sz w:val="16"/>
        </w:rPr>
        <w:t>POLLUTION PREVENTION</w:t>
      </w:r>
      <w:r>
        <w:rPr>
          <w:sz w:val="16"/>
        </w:rPr>
        <w:t xml:space="preserve"> -- In the event that cargo is spilled or escapes during the loading or discharging of a vessel or when a vessel is in close proximity to the terminal, whether such spill is caused by the terminal, vessel, third parties, or otherwise, the terminal shall undertake such measures as are reasonably necessary to prevent or mitigate resulting pollution damage.  The vessel agrees to report immediately to the terminal and the USCG any cargo spillage at or in the vicinity of the terminal during the delivery or receipt of cargo under this Agreement.  The terminal agrees promptly to notify the vessel's representative if the vessel's master does not cooperate in assisting the terminal in its immediate action to mitigate pollution damage.</w:t>
      </w:r>
    </w:p>
    <w:p>
      <w:pPr>
        <w:pStyle w:val="Normal"/>
        <w:spacing w:before="0" w:after="120"/>
        <w:jc w:val="both"/>
        <w:rPr>
          <w:sz w:val="16"/>
        </w:rPr>
      </w:pPr>
      <w:r>
        <w:rPr>
          <w:sz w:val="16"/>
        </w:rPr>
        <w:t>If the terminal does not take adequate measures to prevent or mitigate pollution damage, then the vessel may, at its option and upon notice to the terminal, undertake such measures as are reasonably necessary under the circumstances.  Any such measures actually taken by the vessel shall be at the expense of the party or parties responsible for such spill or escape.</w:t>
      </w:r>
    </w:p>
    <w:p>
      <w:pPr>
        <w:pStyle w:val="Normal"/>
        <w:spacing w:before="0" w:after="120"/>
        <w:jc w:val="both"/>
        <w:rPr>
          <w:sz w:val="16"/>
        </w:rPr>
      </w:pPr>
      <w:r>
        <w:rPr>
          <w:sz w:val="16"/>
        </w:rPr>
        <w:t>In the event of any discharge of cargo into water as set forth above, whether such discharge occurs in navigable waters and/or in the economic zone of the United States and/or foreign waters subject to international environmental legislation, due to the sole negligence of Seller or Buyer or the agent or employee of Seller or Buyer, as (a) the owner, operator, or charterer of the vessel, or (b) the owner or operator of the terminal, the solely negligent party hereunder agrees to protect, defend, indemnify and hold harmless the non-negligent party from and against the full amount of the reasonable costs of containment or clean-up, fines, and penalties which in any way arise out of or relate to the discharge of the cargo, under U.S. and/or international environmental legislation.  In the event that both Seller and Buyer are jointly negligent, the costs of containment and clean-up, fines, and penalties shall be borne jointly by Seller and Buyer in proportion to each party's negligence.  Each party agrees promptly to provide a certificate of financial responsibility at the request of the other party hereto.</w:t>
      </w:r>
    </w:p>
    <w:p>
      <w:pPr>
        <w:pStyle w:val="Normal"/>
        <w:spacing w:before="0" w:after="120"/>
        <w:jc w:val="both"/>
        <w:rPr>
          <w:sz w:val="16"/>
        </w:rPr>
      </w:pPr>
      <w:r>
        <w:rPr>
          <w:sz w:val="16"/>
        </w:rPr>
        <w:t>In the event of any discharge of cargo into water as set forth in the immediately preceding paragraph , whether such discharge occurs in navigable waters and/or in the economic zone of the U.S. and/or foreign waters subject to international environmental legislation, due to the sole negligence of a third party other than the agent or an employee of Seller or Buyer, Seller or Buyer shall cooperate fully for the purpose of obtaining reimbursement from the legally responsible party for any and all costs and/or expenses, if any, borne by Seller or Buyer under this paragraph.</w:t>
      </w:r>
    </w:p>
    <w:p>
      <w:pPr>
        <w:pStyle w:val="Normal"/>
        <w:spacing w:before="0" w:after="120"/>
        <w:jc w:val="both"/>
        <w:rPr/>
      </w:pPr>
      <w:r>
        <w:rPr>
          <w:b/>
          <w:sz w:val="16"/>
        </w:rPr>
        <w:t>CONTRACT INTERPRETATION</w:t>
      </w:r>
      <w:r>
        <w:rPr>
          <w:sz w:val="16"/>
        </w:rPr>
        <w:t xml:space="preserve"> -- In the event of a conflict between these Marine Provisions and the provisions of the EPC General Terms, these Marine Provisions shall govern and control; in the event of a conflict between these Marine Provisions, and the provisions of the Special Terms and Conditions, however, the terms and provisions of the Special Terms and Conditions shall govern and control; provided, in either case, that the inclusion in the Special Terms and Conditions and the EPC General Terms of terms and provisions not addressed in these Marine Provisions shall not be deemed a conflict, and all such additional provisions contained therein shall be given full force and effect.</w:t>
      </w:r>
    </w:p>
    <w:p>
      <w:pPr>
        <w:pStyle w:val="Normal"/>
        <w:spacing w:before="0" w:after="120"/>
        <w:jc w:val="center"/>
        <w:rPr>
          <w:sz w:val="20"/>
        </w:rPr>
      </w:pPr>
      <w:r>
        <w:rPr>
          <w:sz w:val="16"/>
        </w:rPr>
        <w:t>{END}</w:t>
      </w:r>
    </w:p>
    <w:p>
      <w:pPr>
        <w:pStyle w:val="Normal"/>
        <w:tabs>
          <w:tab w:val="clear" w:pos="720"/>
          <w:tab w:val="left" w:pos="-720" w:leader="none"/>
          <w:tab w:val="left" w:pos="450" w:leader="none"/>
          <w:tab w:val="left" w:pos="900" w:leader="none"/>
        </w:tabs>
        <w:spacing w:before="0" w:after="64"/>
        <w:jc w:val="both"/>
        <w:rPr>
          <w:sz w:val="16"/>
        </w:rPr>
      </w:pPr>
      <w:r>
        <w:rPr>
          <w:sz w:val="16"/>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left" w:pos="-720" w:leader="none"/>
          <w:tab w:val="left" w:pos="0" w:leader="none"/>
          <w:tab w:val="left" w:pos="450" w:leader="none"/>
          <w:tab w:val="left" w:pos="720" w:leader="none"/>
          <w:tab w:val="left" w:pos="900" w:leader="none"/>
        </w:tabs>
        <w:spacing w:before="0" w:after="64"/>
        <w:rPr>
          <w:sz w:val="16"/>
        </w:rPr>
      </w:pPr>
      <w:r>
        <w:rPr>
          <w:sz w:val="16"/>
        </w:rPr>
      </w:r>
    </w:p>
    <w:p>
      <w:pPr>
        <w:pStyle w:val="Normal"/>
        <w:tabs>
          <w:tab w:val="clear" w:pos="720"/>
          <w:tab w:val="left" w:pos="-720" w:leader="none"/>
          <w:tab w:val="left" w:pos="450" w:leader="none"/>
          <w:tab w:val="left" w:pos="900" w:leader="none"/>
        </w:tabs>
        <w:spacing w:before="0" w:after="64"/>
        <w:jc w:val="both"/>
        <w:rPr>
          <w:sz w:val="18"/>
        </w:rPr>
      </w:pPr>
      <w:r>
        <w:rPr>
          <w:sz w:val="18"/>
        </w:rPr>
      </w:r>
    </w:p>
    <w:sectPr>
      <w:headerReference w:type="default" r:id="rId10"/>
      <w:headerReference w:type="first" r:id="rId11"/>
      <w:footerReference w:type="default" r:id="rId12"/>
      <w:footerReference w:type="first" r:id="rId13"/>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/mnt/main-storage/datasets/enron-docs/doc/EOL9101__Online_GTCs_rev2_2001_.doc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/mnt/main-storage/datasets/enron-docs/doc/EOL9101__Online_GTCs_rev2_2001_.doc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/mnt/main-storage/datasets/enron-docs/doc/EOL9101__Online_GTCs_rev2_2001_.doc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March 20,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clear" w:pos="720"/>
        <w:tab w:val="left" w:pos="-720" w:leader="none"/>
      </w:tabs>
      <w:jc w:val="center"/>
    </w:pPr>
    <w:rPr>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ind w:hanging="720" w:start="720" w:end="0"/>
    </w:pPr>
    <w:rPr>
      <w:sz w:val="20"/>
    </w:rPr>
  </w:style>
  <w:style w:type="paragraph" w:styleId="BodyText3">
    <w:name w:val="Body Text 3"/>
    <w:basedOn w:val="Normal"/>
    <w:qFormat/>
    <w:pPr>
      <w:tabs>
        <w:tab w:val="clear" w:pos="720"/>
        <w:tab w:val="left" w:pos="-720" w:leader="none"/>
        <w:tab w:val="left" w:pos="450" w:leader="none"/>
        <w:tab w:val="left" w:pos="900" w:leader="none"/>
      </w:tabs>
      <w:spacing w:before="0" w:after="64"/>
      <w:jc w:val="both"/>
    </w:pPr>
    <w:rPr>
      <w:strike/>
      <w:sz w:val="16"/>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2001-03-22T12:18:00Z</dcterms:created>
  <dc:creator>ROB CASS</dc:creator>
  <dc:description>super copied from 030</dc:description>
  <dc:language>en-CA</dc:language>
  <cp:lastModifiedBy>cwalker</cp:lastModifiedBy>
  <cp:lastPrinted>2001-03-21T17:54:00Z</cp:lastPrinted>
  <dcterms:modified xsi:type="dcterms:W3CDTF">2001-03-22T12:18:00Z</dcterms:modified>
  <cp:revision>2</cp:revision>
  <dc:subject>Sales Purchase Agr/Long Form</dc:subject>
  <dc:title>Part II General Terms and Conditions</dc:title>
</cp:coreProperties>
</file>