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8540" w:type="dxa"/>
        <w:jc w:val="start"/>
        <w:tblInd w:w="-432" w:type="dxa"/>
        <w:tblLayout w:type="fixed"/>
        <w:tblCellMar>
          <w:top w:w="0" w:type="dxa"/>
          <w:start w:w="108" w:type="dxa"/>
          <w:bottom w:w="0" w:type="dxa"/>
          <w:end w:w="108" w:type="dxa"/>
        </w:tblCellMar>
      </w:tblPr>
      <w:tblGrid>
        <w:gridCol w:w="1080"/>
        <w:gridCol w:w="1350"/>
        <w:gridCol w:w="1440"/>
        <w:gridCol w:w="2790"/>
        <w:gridCol w:w="1620"/>
        <w:gridCol w:w="2700"/>
        <w:gridCol w:w="4050"/>
        <w:gridCol w:w="3510"/>
      </w:tblGrid>
      <w:tr>
        <w:trPr/>
        <w:tc>
          <w:tcPr>
            <w:tcW w:w="18540" w:type="dxa"/>
            <w:gridSpan w:val="8"/>
            <w:tcBorders>
              <w:top w:val="single" w:sz="4" w:space="0" w:color="000000"/>
              <w:start w:val="single" w:sz="4" w:space="0" w:color="000000"/>
              <w:bottom w:val="single" w:sz="4" w:space="0" w:color="000000"/>
              <w:end w:val="single" w:sz="4" w:space="0" w:color="000000"/>
            </w:tcBorders>
            <w:shd w:fill="FFFF00" w:val="clear"/>
          </w:tcPr>
          <w:p>
            <w:pPr>
              <w:pStyle w:val="Heading5"/>
              <w:ind w:hanging="0" w:start="0"/>
              <w:rPr>
                <w:i w:val="false"/>
                <w:i w:val="false"/>
                <w:sz w:val="24"/>
              </w:rPr>
            </w:pPr>
            <w:r>
              <w:rPr>
                <w:i w:val="false"/>
                <w:sz w:val="24"/>
              </w:rPr>
              <w:t>Project Objective</w:t>
            </w:r>
          </w:p>
        </w:tc>
      </w:tr>
      <w:tr>
        <w:trPr/>
        <w:tc>
          <w:tcPr>
            <w:tcW w:w="18540" w:type="dxa"/>
            <w:gridSpan w:val="8"/>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 w:val="left" w:pos="2520" w:leader="none"/>
                <w:tab w:val="left" w:pos="2700" w:leader="none"/>
              </w:tabs>
              <w:rPr>
                <w:sz w:val="20"/>
              </w:rPr>
            </w:pPr>
            <w:r>
              <w:rPr>
                <w:color w:val="000000"/>
                <w:sz w:val="20"/>
                <w:lang w:eastAsia="en-US"/>
              </w:rPr>
              <w:t>The scope of our review is designed to understand and identify key control mechanisms within the global EnronOnline environment related to the completeness and accuracy of transaction data transfer, management reporting and exposure monitoring. Our audit procedures included interviews with IT Compliance group personnel, review of IT Compliance testing and a test of customer transactions.</w:t>
            </w:r>
          </w:p>
        </w:tc>
      </w:tr>
      <w:tr>
        <w:trPr/>
        <w:tc>
          <w:tcPr>
            <w:tcW w:w="1080"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b/>
                <w:sz w:val="24"/>
              </w:rPr>
            </w:pPr>
            <w:r>
              <w:rPr>
                <w:b/>
                <w:sz w:val="24"/>
              </w:rPr>
              <w:t>Project Name</w:t>
            </w:r>
          </w:p>
        </w:tc>
        <w:tc>
          <w:tcPr>
            <w:tcW w:w="1350"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b/>
                <w:sz w:val="24"/>
              </w:rPr>
            </w:pPr>
            <w:r>
              <w:rPr>
                <w:b/>
                <w:sz w:val="24"/>
              </w:rPr>
              <w:t>Risk Area</w:t>
            </w:r>
          </w:p>
        </w:tc>
        <w:tc>
          <w:tcPr>
            <w:tcW w:w="1440"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b/>
                <w:sz w:val="24"/>
              </w:rPr>
            </w:pPr>
            <w:r>
              <w:rPr>
                <w:b/>
                <w:sz w:val="24"/>
              </w:rPr>
              <w:t>Target Activity</w:t>
            </w:r>
          </w:p>
        </w:tc>
        <w:tc>
          <w:tcPr>
            <w:tcW w:w="2790" w:type="dxa"/>
            <w:tcBorders>
              <w:top w:val="single" w:sz="6" w:space="0" w:color="000000"/>
              <w:start w:val="single" w:sz="6" w:space="0" w:color="000000"/>
              <w:bottom w:val="single" w:sz="6" w:space="0" w:color="000000"/>
              <w:end w:val="single" w:sz="6" w:space="0" w:color="000000"/>
            </w:tcBorders>
            <w:shd w:fill="FF0000" w:val="clear"/>
          </w:tcPr>
          <w:p>
            <w:pPr>
              <w:pStyle w:val="Normal"/>
              <w:jc w:val="center"/>
              <w:rPr>
                <w:b/>
                <w:sz w:val="24"/>
              </w:rPr>
            </w:pPr>
            <w:r>
              <w:rPr>
                <w:b/>
                <w:sz w:val="24"/>
              </w:rPr>
              <w:t>Specific Risk Objectives</w:t>
            </w:r>
          </w:p>
        </w:tc>
        <w:tc>
          <w:tcPr>
            <w:tcW w:w="1620" w:type="dxa"/>
            <w:tcBorders>
              <w:top w:val="single" w:sz="6" w:space="0" w:color="000000"/>
              <w:start w:val="single" w:sz="6" w:space="0" w:color="000000"/>
              <w:bottom w:val="single" w:sz="6" w:space="0" w:color="000000"/>
              <w:end w:val="single" w:sz="6" w:space="0" w:color="000000"/>
            </w:tcBorders>
            <w:shd w:fill="FF0000" w:val="clear"/>
          </w:tcPr>
          <w:p>
            <w:pPr>
              <w:pStyle w:val="Normal"/>
              <w:jc w:val="center"/>
              <w:rPr>
                <w:b/>
                <w:sz w:val="24"/>
              </w:rPr>
            </w:pPr>
            <w:r>
              <w:rPr>
                <w:b/>
                <w:sz w:val="24"/>
                <w:shd w:fill="FF0000" w:val="clear"/>
              </w:rPr>
              <w:t>Objective Met?</w:t>
            </w:r>
          </w:p>
        </w:tc>
        <w:tc>
          <w:tcPr>
            <w:tcW w:w="2700" w:type="dxa"/>
            <w:tcBorders>
              <w:top w:val="single" w:sz="6" w:space="0" w:color="000000"/>
              <w:start w:val="single" w:sz="6" w:space="0" w:color="000000"/>
              <w:bottom w:val="single" w:sz="6" w:space="0" w:color="000000"/>
              <w:end w:val="single" w:sz="6" w:space="0" w:color="000000"/>
            </w:tcBorders>
            <w:shd w:fill="800000" w:val="clear"/>
          </w:tcPr>
          <w:p>
            <w:pPr>
              <w:pStyle w:val="Normal"/>
              <w:jc w:val="center"/>
              <w:rPr>
                <w:b/>
                <w:sz w:val="24"/>
              </w:rPr>
            </w:pPr>
            <w:r>
              <w:rPr>
                <w:b/>
                <w:sz w:val="24"/>
              </w:rPr>
              <w:t>Existing Control(s)</w:t>
            </w:r>
          </w:p>
        </w:tc>
        <w:tc>
          <w:tcPr>
            <w:tcW w:w="4050" w:type="dxa"/>
            <w:tcBorders>
              <w:top w:val="single" w:sz="6" w:space="0" w:color="000000"/>
              <w:start w:val="single" w:sz="6" w:space="0" w:color="000000"/>
              <w:bottom w:val="single" w:sz="6" w:space="0" w:color="000000"/>
              <w:end w:val="single" w:sz="6" w:space="0" w:color="000000"/>
            </w:tcBorders>
            <w:shd w:fill="0000FF" w:val="clear"/>
          </w:tcPr>
          <w:p>
            <w:pPr>
              <w:pStyle w:val="Normal"/>
              <w:jc w:val="center"/>
              <w:rPr>
                <w:b/>
                <w:sz w:val="24"/>
              </w:rPr>
            </w:pPr>
            <w:r>
              <w:rPr>
                <w:b/>
                <w:sz w:val="24"/>
              </w:rPr>
              <w:t>Findings</w:t>
            </w:r>
          </w:p>
        </w:tc>
        <w:tc>
          <w:tcPr>
            <w:tcW w:w="3510" w:type="dxa"/>
            <w:tcBorders>
              <w:top w:val="single" w:sz="6" w:space="0" w:color="000000"/>
              <w:start w:val="single" w:sz="6" w:space="0" w:color="000000"/>
              <w:bottom w:val="single" w:sz="6" w:space="0" w:color="000000"/>
              <w:end w:val="single" w:sz="6" w:space="0" w:color="000000"/>
            </w:tcBorders>
            <w:shd w:fill="00FFFF" w:val="clear"/>
          </w:tcPr>
          <w:p>
            <w:pPr>
              <w:pStyle w:val="Normal"/>
              <w:jc w:val="center"/>
              <w:rPr>
                <w:b/>
                <w:sz w:val="24"/>
              </w:rPr>
            </w:pPr>
            <w:r>
              <w:rPr>
                <w:b/>
                <w:sz w:val="24"/>
              </w:rPr>
              <w:t>Recommendation,</w:t>
            </w:r>
          </w:p>
          <w:p>
            <w:pPr>
              <w:pStyle w:val="Normal"/>
              <w:jc w:val="center"/>
              <w:rPr>
                <w:b/>
                <w:sz w:val="24"/>
              </w:rPr>
            </w:pPr>
            <w:r>
              <w:rPr>
                <w:b/>
                <w:sz w:val="24"/>
              </w:rPr>
              <w:t>Person &amp; Target Date</w:t>
            </w:r>
          </w:p>
        </w:tc>
      </w:tr>
      <w:tr>
        <w:trPr>
          <w:trHeight w:val="1839" w:hRule="atLeast"/>
        </w:trPr>
        <w:tc>
          <w:tcPr>
            <w:tcW w:w="1080" w:type="dxa"/>
            <w:tcBorders>
              <w:top w:val="single" w:sz="6" w:space="0" w:color="000000"/>
              <w:start w:val="single" w:sz="6" w:space="0" w:color="000000"/>
              <w:bottom w:val="single" w:sz="6" w:space="0" w:color="000000"/>
              <w:end w:val="single" w:sz="6" w:space="0" w:color="000000"/>
            </w:tcBorders>
          </w:tcPr>
          <w:p>
            <w:pPr>
              <w:pStyle w:val="Normal"/>
              <w:rPr>
                <w:sz w:val="18"/>
                <w:u w:val="single"/>
              </w:rPr>
            </w:pPr>
            <w:r>
              <w:rPr>
                <w:sz w:val="18"/>
                <w:u w:val="single"/>
              </w:rPr>
              <w:t>Enron Online</w:t>
            </w:r>
          </w:p>
        </w:tc>
        <w:tc>
          <w:tcPr>
            <w:tcW w:w="1350"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Financial Markets</w:t>
            </w:r>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rPr>
                <w:sz w:val="18"/>
              </w:rPr>
            </w:pPr>
            <w:r>
              <w:rPr>
                <w:sz w:val="18"/>
              </w:rPr>
              <w:t>Portfolio Monitoring, Analysis &amp; Management</w:t>
            </w:r>
          </w:p>
        </w:tc>
        <w:tc>
          <w:tcPr>
            <w:tcW w:w="2790" w:type="dxa"/>
            <w:tcBorders>
              <w:top w:val="single" w:sz="6" w:space="0" w:color="000000"/>
              <w:start w:val="single" w:sz="6" w:space="0" w:color="000000"/>
              <w:bottom w:val="single" w:sz="6" w:space="0" w:color="000000"/>
              <w:end w:val="single" w:sz="6" w:space="0" w:color="000000"/>
            </w:tcBorders>
          </w:tcPr>
          <w:p>
            <w:pPr>
              <w:pStyle w:val="AIOCNORMAL"/>
              <w:rPr>
                <w:sz w:val="18"/>
              </w:rPr>
            </w:pPr>
            <w:r>
              <w:rPr>
                <w:sz w:val="18"/>
              </w:rPr>
              <w:t xml:space="preserve">Effective “stack manager” procedures and controls with the EOL application control offerings.  </w:t>
            </w:r>
          </w:p>
        </w:tc>
        <w:tc>
          <w:tcPr>
            <w:tcW w:w="16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jc w:val="center"/>
              <w:rPr>
                <w:sz w:val="18"/>
              </w:rPr>
            </w:pPr>
            <w:r>
              <w:rPr>
                <w:sz w:val="18"/>
              </w:rPr>
              <w:t>Yes</w:t>
            </w:r>
          </w:p>
        </w:tc>
        <w:tc>
          <w:tcPr>
            <w:tcW w:w="27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62" w:leader="none"/>
              </w:tabs>
              <w:rPr>
                <w:sz w:val="18"/>
              </w:rPr>
            </w:pPr>
            <w:r>
              <w:rPr>
                <w:sz w:val="18"/>
              </w:rPr>
              <w:t>Existence of Garbage checking parameters</w:t>
            </w:r>
          </w:p>
        </w:tc>
        <w:tc>
          <w:tcPr>
            <w:tcW w:w="4050" w:type="dxa"/>
            <w:tcBorders>
              <w:top w:val="single" w:sz="6" w:space="0" w:color="000000"/>
              <w:start w:val="single" w:sz="6" w:space="0" w:color="000000"/>
              <w:bottom w:val="single" w:sz="6" w:space="0" w:color="000000"/>
              <w:end w:val="single" w:sz="6" w:space="0" w:color="000000"/>
            </w:tcBorders>
          </w:tcPr>
          <w:p>
            <w:pPr>
              <w:pStyle w:val="Normal"/>
              <w:numPr>
                <w:ilvl w:val="0"/>
                <w:numId w:val="21"/>
              </w:numPr>
              <w:rPr>
                <w:sz w:val="18"/>
              </w:rPr>
            </w:pPr>
            <w:r>
              <w:rPr>
                <w:sz w:val="18"/>
              </w:rPr>
              <w:t xml:space="preserve">Garbage checking parameters, which are control mechanisms to mitigate the risk of posting inaccurate volumes and prices for products on EOL, are available to Stack Managers.  Currently no mechanism is available to establish a monitoring control to review the reasonableness of the set parameters to determine effectiveness.  </w:t>
            </w:r>
            <w:r>
              <w:rPr>
                <w:b/>
                <w:sz w:val="18"/>
              </w:rPr>
              <w:t>(EOL Phase II)</w:t>
            </w:r>
          </w:p>
        </w:tc>
        <w:tc>
          <w:tcPr>
            <w:tcW w:w="3510" w:type="dxa"/>
            <w:tcBorders>
              <w:top w:val="single" w:sz="6" w:space="0" w:color="000000"/>
              <w:start w:val="single" w:sz="6" w:space="0" w:color="000000"/>
              <w:bottom w:val="single" w:sz="6" w:space="0" w:color="000000"/>
              <w:end w:val="single" w:sz="6" w:space="0" w:color="000000"/>
            </w:tcBorders>
          </w:tcPr>
          <w:p>
            <w:pPr>
              <w:pStyle w:val="Normal"/>
              <w:numPr>
                <w:ilvl w:val="0"/>
                <w:numId w:val="24"/>
              </w:numPr>
              <w:tabs>
                <w:tab w:val="clear" w:pos="720"/>
                <w:tab w:val="left" w:pos="252" w:leader="none"/>
              </w:tabs>
              <w:rPr>
                <w:sz w:val="18"/>
              </w:rPr>
            </w:pPr>
            <w:r>
              <w:rPr>
                <w:sz w:val="18"/>
              </w:rPr>
              <w:t>Personnel independent from the trading of the specific product should be responsible for periodically reviewing the use and reasonableness of the established parameters.</w:t>
            </w:r>
          </w:p>
          <w:p>
            <w:pPr>
              <w:pStyle w:val="Normal"/>
              <w:rPr>
                <w:sz w:val="18"/>
              </w:rPr>
            </w:pPr>
            <w:r>
              <w:rPr>
                <w:sz w:val="18"/>
              </w:rPr>
            </w:r>
          </w:p>
        </w:tc>
      </w:tr>
      <w:tr>
        <w:trPr>
          <w:trHeight w:val="1560" w:hRule="atLeast"/>
        </w:trPr>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rPr>
                <w:sz w:val="18"/>
                <w:u w:val="single"/>
              </w:rPr>
            </w:pPr>
            <w:r>
              <w:rPr>
                <w:sz w:val="18"/>
                <w:u w:val="single"/>
              </w:rPr>
            </w:r>
          </w:p>
        </w:tc>
        <w:tc>
          <w:tcPr>
            <w:tcW w:w="1350"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Financial Markets</w:t>
            </w:r>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rPr>
                <w:sz w:val="18"/>
              </w:rPr>
            </w:pPr>
            <w:r>
              <w:rPr>
                <w:sz w:val="18"/>
              </w:rPr>
              <w:t>Portfolio Monitoring, Analysis &amp; Management</w:t>
            </w:r>
          </w:p>
        </w:tc>
        <w:tc>
          <w:tcPr>
            <w:tcW w:w="279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rPr>
                <w:sz w:val="18"/>
              </w:rPr>
            </w:pPr>
            <w:r>
              <w:rPr>
                <w:sz w:val="18"/>
              </w:rPr>
              <w:t>Complete and accurate capture of all transaction components and corresponding deal values in the EOL application.</w:t>
            </w:r>
          </w:p>
        </w:tc>
        <w:tc>
          <w:tcPr>
            <w:tcW w:w="16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jc w:val="center"/>
              <w:rPr>
                <w:sz w:val="18"/>
              </w:rPr>
            </w:pPr>
            <w:r>
              <w:rPr>
                <w:sz w:val="18"/>
              </w:rPr>
              <w:t>No</w:t>
            </w:r>
          </w:p>
        </w:tc>
        <w:tc>
          <w:tcPr>
            <w:tcW w:w="2700"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The Product Control Group performs deal count checks</w:t>
            </w:r>
          </w:p>
        </w:tc>
        <w:tc>
          <w:tcPr>
            <w:tcW w:w="4050" w:type="dxa"/>
            <w:tcBorders>
              <w:top w:val="single" w:sz="6" w:space="0" w:color="000000"/>
              <w:start w:val="single" w:sz="6" w:space="0" w:color="000000"/>
              <w:bottom w:val="single" w:sz="6" w:space="0" w:color="000000"/>
              <w:end w:val="single" w:sz="6" w:space="0" w:color="000000"/>
            </w:tcBorders>
          </w:tcPr>
          <w:p>
            <w:pPr>
              <w:pStyle w:val="BodyText3"/>
              <w:numPr>
                <w:ilvl w:val="0"/>
                <w:numId w:val="29"/>
              </w:numPr>
              <w:rPr>
                <w:i w:val="false"/>
                <w:i w:val="false"/>
              </w:rPr>
            </w:pPr>
            <w:r>
              <w:rPr>
                <w:b w:val="false"/>
                <w:i w:val="false"/>
              </w:rPr>
              <w:t xml:space="preserve">The current management reports that are distributed to senior management do not include a value for “US Gas Basis” transactions which could be as small as $730 million and as large as $13 billion on the valuation methodology (values as of 4/13/00).  </w:t>
            </w:r>
            <w:r>
              <w:rPr>
                <w:i w:val="false"/>
              </w:rPr>
              <w:t>(EOL Phase II)</w:t>
            </w:r>
          </w:p>
          <w:p>
            <w:pPr>
              <w:pStyle w:val="BodyText3"/>
              <w:rPr>
                <w:b w:val="false"/>
                <w:i w:val="false"/>
                <w:i w:val="false"/>
              </w:rPr>
            </w:pPr>
            <w:r>
              <w:rPr>
                <w:b w:val="false"/>
                <w:i w:val="false"/>
              </w:rPr>
            </w:r>
          </w:p>
          <w:p>
            <w:pPr>
              <w:pStyle w:val="BodyText3"/>
              <w:numPr>
                <w:ilvl w:val="0"/>
                <w:numId w:val="30"/>
              </w:numPr>
              <w:rPr>
                <w:b w:val="false"/>
                <w:i w:val="false"/>
                <w:i w:val="false"/>
              </w:rPr>
            </w:pPr>
            <w:r>
              <w:rPr>
                <w:b w:val="false"/>
                <w:i w:val="false"/>
              </w:rPr>
              <w:t xml:space="preserve">Key management reports that are distributed to senior management and potentially used as information for decision making purposes are subject to various manual errors due to the highly manually intensive process necessary to create the data.  </w:t>
            </w:r>
            <w:r>
              <w:rPr>
                <w:i w:val="false"/>
              </w:rPr>
              <w:t>(EOL Phase II)</w:t>
            </w:r>
          </w:p>
        </w:tc>
        <w:tc>
          <w:tcPr>
            <w:tcW w:w="3510" w:type="dxa"/>
            <w:tcBorders>
              <w:top w:val="single" w:sz="6" w:space="0" w:color="000000"/>
              <w:start w:val="single" w:sz="6" w:space="0" w:color="000000"/>
              <w:bottom w:val="single" w:sz="6" w:space="0" w:color="000000"/>
              <w:end w:val="single" w:sz="6" w:space="0" w:color="000000"/>
            </w:tcBorders>
          </w:tcPr>
          <w:p>
            <w:pPr>
              <w:pStyle w:val="BodyText3"/>
              <w:numPr>
                <w:ilvl w:val="0"/>
                <w:numId w:val="13"/>
              </w:numPr>
              <w:rPr>
                <w:b w:val="false"/>
                <w:i w:val="false"/>
                <w:i w:val="false"/>
              </w:rPr>
            </w:pPr>
            <w:r>
              <w:rPr>
                <w:b w:val="false"/>
                <w:i w:val="false"/>
              </w:rPr>
              <w:t>Although management is determining the proper method to value these transactions, recipients of these key reports should be made aware of data that is not included and potential magnitude of the omitted items.</w:t>
            </w:r>
          </w:p>
          <w:p>
            <w:pPr>
              <w:pStyle w:val="BodyText3"/>
              <w:rPr>
                <w:b w:val="false"/>
                <w:i w:val="false"/>
                <w:i w:val="false"/>
              </w:rPr>
            </w:pPr>
            <w:r>
              <w:rPr>
                <w:b w:val="false"/>
                <w:i w:val="false"/>
              </w:rPr>
            </w:r>
          </w:p>
          <w:p>
            <w:pPr>
              <w:pStyle w:val="BodyText3"/>
              <w:numPr>
                <w:ilvl w:val="0"/>
                <w:numId w:val="23"/>
              </w:numPr>
              <w:rPr>
                <w:b w:val="false"/>
                <w:i w:val="false"/>
                <w:i w:val="false"/>
              </w:rPr>
            </w:pPr>
            <w:r>
              <w:rPr>
                <w:b w:val="false"/>
                <w:i w:val="false"/>
              </w:rPr>
              <w:t>Although management has plans in place to implement an automated process, recipients should be aware of the errors inherent in the process.</w:t>
            </w:r>
          </w:p>
          <w:p>
            <w:pPr>
              <w:pStyle w:val="BodyText3"/>
              <w:rPr>
                <w:b w:val="false"/>
                <w:i w:val="false"/>
                <w:i w:val="false"/>
              </w:rPr>
            </w:pPr>
            <w:r>
              <w:rPr>
                <w:b w:val="false"/>
                <w:i w:val="false"/>
              </w:rPr>
            </w:r>
          </w:p>
          <w:p>
            <w:pPr>
              <w:pStyle w:val="BodyText3"/>
              <w:rPr>
                <w:b w:val="false"/>
                <w:i w:val="false"/>
                <w:i w:val="false"/>
              </w:rPr>
            </w:pPr>
            <w:r>
              <w:rPr>
                <w:b w:val="false"/>
                <w:i w:val="false"/>
              </w:rPr>
            </w:r>
          </w:p>
          <w:p>
            <w:pPr>
              <w:pStyle w:val="BodyText3"/>
              <w:rPr>
                <w:b w:val="false"/>
                <w:i w:val="false"/>
                <w:i w:val="false"/>
              </w:rPr>
            </w:pPr>
            <w:r>
              <w:rPr>
                <w:b w:val="false"/>
                <w:i w:val="false"/>
              </w:rPr>
            </w:r>
          </w:p>
        </w:tc>
      </w:tr>
    </w:tbl>
    <w:p>
      <w:pPr>
        <w:pStyle w:val="Normal"/>
        <w:rPr/>
      </w:pPr>
      <w:r>
        <w:br w:type="page"/>
      </w:r>
      <w:r>
        <w:rPr/>
      </w:r>
    </w:p>
    <w:p>
      <w:pPr>
        <w:pStyle w:val="Normal"/>
        <w:rPr/>
      </w:pPr>
      <w:r>
        <w:rPr/>
      </w:r>
    </w:p>
    <w:tbl>
      <w:tblPr>
        <w:tblW w:w="18540" w:type="dxa"/>
        <w:jc w:val="start"/>
        <w:tblInd w:w="-432" w:type="dxa"/>
        <w:tblLayout w:type="fixed"/>
        <w:tblCellMar>
          <w:top w:w="0" w:type="dxa"/>
          <w:start w:w="108" w:type="dxa"/>
          <w:bottom w:w="0" w:type="dxa"/>
          <w:end w:w="108" w:type="dxa"/>
        </w:tblCellMar>
      </w:tblPr>
      <w:tblGrid>
        <w:gridCol w:w="1080"/>
        <w:gridCol w:w="1350"/>
        <w:gridCol w:w="1440"/>
        <w:gridCol w:w="2790"/>
        <w:gridCol w:w="1620"/>
        <w:gridCol w:w="2700"/>
        <w:gridCol w:w="4050"/>
        <w:gridCol w:w="3510"/>
      </w:tblGrid>
      <w:tr>
        <w:trPr>
          <w:tblHeader w:val="true"/>
        </w:trPr>
        <w:tc>
          <w:tcPr>
            <w:tcW w:w="1080"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b/>
                <w:sz w:val="24"/>
              </w:rPr>
            </w:pPr>
            <w:r>
              <w:rPr>
                <w:b/>
                <w:sz w:val="24"/>
              </w:rPr>
              <w:t>Project Name</w:t>
            </w:r>
          </w:p>
        </w:tc>
        <w:tc>
          <w:tcPr>
            <w:tcW w:w="1350"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b/>
                <w:sz w:val="24"/>
              </w:rPr>
            </w:pPr>
            <w:r>
              <w:rPr>
                <w:b/>
                <w:sz w:val="24"/>
              </w:rPr>
              <w:t>Risk Area</w:t>
            </w:r>
          </w:p>
        </w:tc>
        <w:tc>
          <w:tcPr>
            <w:tcW w:w="1440"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b/>
                <w:sz w:val="24"/>
              </w:rPr>
            </w:pPr>
            <w:r>
              <w:rPr>
                <w:b/>
                <w:sz w:val="24"/>
              </w:rPr>
              <w:t>Target Activity</w:t>
            </w:r>
          </w:p>
        </w:tc>
        <w:tc>
          <w:tcPr>
            <w:tcW w:w="2790" w:type="dxa"/>
            <w:tcBorders>
              <w:top w:val="single" w:sz="6" w:space="0" w:color="000000"/>
              <w:start w:val="single" w:sz="6" w:space="0" w:color="000000"/>
              <w:bottom w:val="single" w:sz="6" w:space="0" w:color="000000"/>
              <w:end w:val="single" w:sz="6" w:space="0" w:color="000000"/>
            </w:tcBorders>
            <w:shd w:fill="FF0000" w:val="clear"/>
          </w:tcPr>
          <w:p>
            <w:pPr>
              <w:pStyle w:val="Normal"/>
              <w:jc w:val="center"/>
              <w:rPr>
                <w:b/>
                <w:sz w:val="24"/>
              </w:rPr>
            </w:pPr>
            <w:r>
              <w:rPr>
                <w:b/>
                <w:sz w:val="24"/>
              </w:rPr>
              <w:t>Specific Risk Objectives</w:t>
            </w:r>
          </w:p>
        </w:tc>
        <w:tc>
          <w:tcPr>
            <w:tcW w:w="1620" w:type="dxa"/>
            <w:tcBorders>
              <w:top w:val="single" w:sz="6" w:space="0" w:color="000000"/>
              <w:start w:val="single" w:sz="6" w:space="0" w:color="000000"/>
              <w:bottom w:val="single" w:sz="6" w:space="0" w:color="000000"/>
              <w:end w:val="single" w:sz="6" w:space="0" w:color="000000"/>
            </w:tcBorders>
            <w:shd w:fill="FF0000" w:val="clear"/>
          </w:tcPr>
          <w:p>
            <w:pPr>
              <w:pStyle w:val="Normal"/>
              <w:jc w:val="center"/>
              <w:rPr>
                <w:b/>
                <w:sz w:val="24"/>
              </w:rPr>
            </w:pPr>
            <w:r>
              <w:rPr>
                <w:b/>
                <w:sz w:val="24"/>
                <w:shd w:fill="FF0000" w:val="clear"/>
              </w:rPr>
              <w:t>Objective Met?</w:t>
            </w:r>
          </w:p>
        </w:tc>
        <w:tc>
          <w:tcPr>
            <w:tcW w:w="2700" w:type="dxa"/>
            <w:tcBorders>
              <w:top w:val="single" w:sz="6" w:space="0" w:color="000000"/>
              <w:start w:val="single" w:sz="6" w:space="0" w:color="000000"/>
              <w:bottom w:val="single" w:sz="6" w:space="0" w:color="000000"/>
              <w:end w:val="single" w:sz="6" w:space="0" w:color="000000"/>
            </w:tcBorders>
            <w:shd w:fill="800000" w:val="clear"/>
          </w:tcPr>
          <w:p>
            <w:pPr>
              <w:pStyle w:val="Normal"/>
              <w:jc w:val="center"/>
              <w:rPr>
                <w:b/>
                <w:sz w:val="24"/>
              </w:rPr>
            </w:pPr>
            <w:r>
              <w:rPr>
                <w:b/>
                <w:sz w:val="24"/>
              </w:rPr>
              <w:t>Existing Control(s)</w:t>
            </w:r>
          </w:p>
        </w:tc>
        <w:tc>
          <w:tcPr>
            <w:tcW w:w="4050" w:type="dxa"/>
            <w:tcBorders>
              <w:top w:val="single" w:sz="6" w:space="0" w:color="000000"/>
              <w:start w:val="single" w:sz="6" w:space="0" w:color="000000"/>
              <w:bottom w:val="single" w:sz="6" w:space="0" w:color="000000"/>
              <w:end w:val="single" w:sz="6" w:space="0" w:color="000000"/>
            </w:tcBorders>
            <w:shd w:fill="0000FF" w:val="clear"/>
          </w:tcPr>
          <w:p>
            <w:pPr>
              <w:pStyle w:val="Normal"/>
              <w:jc w:val="center"/>
              <w:rPr>
                <w:b/>
                <w:sz w:val="24"/>
              </w:rPr>
            </w:pPr>
            <w:r>
              <w:rPr>
                <w:b/>
                <w:sz w:val="24"/>
              </w:rPr>
              <w:t>Findings</w:t>
            </w:r>
          </w:p>
        </w:tc>
        <w:tc>
          <w:tcPr>
            <w:tcW w:w="3510" w:type="dxa"/>
            <w:tcBorders>
              <w:top w:val="single" w:sz="6" w:space="0" w:color="000000"/>
              <w:start w:val="single" w:sz="6" w:space="0" w:color="000000"/>
              <w:bottom w:val="single" w:sz="6" w:space="0" w:color="000000"/>
              <w:end w:val="single" w:sz="6" w:space="0" w:color="000000"/>
            </w:tcBorders>
            <w:shd w:fill="00FFFF" w:val="clear"/>
          </w:tcPr>
          <w:p>
            <w:pPr>
              <w:pStyle w:val="Normal"/>
              <w:jc w:val="center"/>
              <w:rPr>
                <w:b/>
                <w:sz w:val="24"/>
              </w:rPr>
            </w:pPr>
            <w:r>
              <w:rPr>
                <w:b/>
                <w:sz w:val="24"/>
              </w:rPr>
              <w:t>Recommendation,</w:t>
            </w:r>
          </w:p>
          <w:p>
            <w:pPr>
              <w:pStyle w:val="Normal"/>
              <w:jc w:val="center"/>
              <w:rPr>
                <w:b/>
                <w:sz w:val="24"/>
              </w:rPr>
            </w:pPr>
            <w:r>
              <w:rPr>
                <w:b/>
                <w:sz w:val="24"/>
              </w:rPr>
              <w:t>Person &amp; Target Date</w:t>
            </w:r>
          </w:p>
        </w:tc>
      </w:tr>
      <w:tr>
        <w:trPr>
          <w:trHeight w:val="858" w:hRule="atLeast"/>
        </w:trPr>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rPr>
                <w:b/>
                <w:i/>
                <w:i/>
                <w:sz w:val="18"/>
                <w:u w:val="single"/>
              </w:rPr>
            </w:pPr>
            <w:r>
              <w:rPr>
                <w:b/>
                <w:i/>
                <w:sz w:val="18"/>
                <w:u w:val="single"/>
              </w:rPr>
            </w:r>
          </w:p>
        </w:tc>
        <w:tc>
          <w:tcPr>
            <w:tcW w:w="1350"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Information Systems</w:t>
            </w:r>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rPr>
                <w:sz w:val="18"/>
              </w:rPr>
            </w:pPr>
            <w:r>
              <w:rPr>
                <w:sz w:val="18"/>
              </w:rPr>
              <w:t>Infrastructure, eBusiness, Access and Security, Critical Application</w:t>
            </w:r>
          </w:p>
        </w:tc>
        <w:tc>
          <w:tcPr>
            <w:tcW w:w="2790" w:type="dxa"/>
            <w:tcBorders>
              <w:top w:val="single" w:sz="6" w:space="0" w:color="000000"/>
              <w:start w:val="single" w:sz="6" w:space="0" w:color="000000"/>
              <w:bottom w:val="single" w:sz="6" w:space="0" w:color="000000"/>
              <w:end w:val="single" w:sz="6" w:space="0" w:color="000000"/>
            </w:tcBorders>
          </w:tcPr>
          <w:p>
            <w:pPr>
              <w:pStyle w:val="ListBullet3"/>
              <w:spacing w:lineRule="auto" w:line="240"/>
              <w:rPr/>
            </w:pPr>
            <w:r>
              <w:rPr/>
              <w:t>Policies and procedures over change management and security administration are adequate to protect data integrity.</w:t>
            </w:r>
          </w:p>
        </w:tc>
        <w:tc>
          <w:tcPr>
            <w:tcW w:w="16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jc w:val="center"/>
              <w:rPr>
                <w:sz w:val="18"/>
              </w:rPr>
            </w:pPr>
            <w:r>
              <w:rPr>
                <w:sz w:val="18"/>
              </w:rPr>
              <w:t>No</w:t>
            </w:r>
          </w:p>
        </w:tc>
        <w:tc>
          <w:tcPr>
            <w:tcW w:w="27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62" w:leader="none"/>
              </w:tabs>
              <w:rPr>
                <w:sz w:val="18"/>
              </w:rPr>
            </w:pPr>
            <w:r>
              <w:rPr>
                <w:sz w:val="18"/>
              </w:rPr>
              <w:t>IDs and passwords are used to authenticate users.</w:t>
            </w:r>
          </w:p>
        </w:tc>
        <w:tc>
          <w:tcPr>
            <w:tcW w:w="4050" w:type="dxa"/>
            <w:tcBorders>
              <w:top w:val="single" w:sz="6" w:space="0" w:color="000000"/>
              <w:start w:val="single" w:sz="6" w:space="0" w:color="000000"/>
              <w:bottom w:val="single" w:sz="6" w:space="0" w:color="000000"/>
              <w:end w:val="single" w:sz="6" w:space="0" w:color="000000"/>
            </w:tcBorders>
          </w:tcPr>
          <w:p>
            <w:pPr>
              <w:pStyle w:val="BodyText2"/>
              <w:numPr>
                <w:ilvl w:val="0"/>
                <w:numId w:val="19"/>
              </w:numPr>
              <w:tabs>
                <w:tab w:val="clear" w:pos="720"/>
                <w:tab w:val="left" w:pos="252" w:leader="none"/>
              </w:tabs>
              <w:rPr/>
            </w:pPr>
            <w:r>
              <w:rPr/>
              <w:t>EOL does not meet Minimum IT Controls Standards in critical areas including:</w:t>
            </w:r>
          </w:p>
          <w:p>
            <w:pPr>
              <w:pStyle w:val="BodyTextIndent"/>
              <w:numPr>
                <w:ilvl w:val="0"/>
                <w:numId w:val="28"/>
              </w:numPr>
              <w:rPr/>
            </w:pPr>
            <w:r>
              <w:rPr/>
              <w:t>There is not a formal process in place for managing software code changes to the EOL application and the bridge monitoring funcitons.</w:t>
            </w:r>
          </w:p>
          <w:p>
            <w:pPr>
              <w:pStyle w:val="Normal"/>
              <w:numPr>
                <w:ilvl w:val="0"/>
                <w:numId w:val="28"/>
              </w:numPr>
              <w:tabs>
                <w:tab w:val="clear" w:pos="720"/>
                <w:tab w:val="left" w:pos="252" w:leader="none"/>
              </w:tabs>
              <w:rPr>
                <w:sz w:val="18"/>
              </w:rPr>
            </w:pPr>
            <w:r>
              <w:rPr>
                <w:sz w:val="18"/>
              </w:rPr>
              <w:t xml:space="preserve">Users are not forced to change passwords from initial setting (initial password set to username) and have no expiration for passwords.  </w:t>
            </w:r>
            <w:r>
              <w:rPr>
                <w:b/>
                <w:sz w:val="18"/>
              </w:rPr>
              <w:t>(EOL)</w:t>
            </w:r>
          </w:p>
        </w:tc>
        <w:tc>
          <w:tcPr>
            <w:tcW w:w="3510" w:type="dxa"/>
            <w:tcBorders>
              <w:top w:val="single" w:sz="6" w:space="0" w:color="000000"/>
              <w:start w:val="single" w:sz="6" w:space="0" w:color="000000"/>
              <w:bottom w:val="single" w:sz="6" w:space="0" w:color="000000"/>
              <w:end w:val="single" w:sz="6" w:space="0" w:color="000000"/>
            </w:tcBorders>
          </w:tcPr>
          <w:p>
            <w:pPr>
              <w:pStyle w:val="Normal"/>
              <w:numPr>
                <w:ilvl w:val="0"/>
                <w:numId w:val="15"/>
              </w:numPr>
              <w:tabs>
                <w:tab w:val="clear" w:pos="720"/>
                <w:tab w:val="left" w:pos="252" w:leader="none"/>
              </w:tabs>
              <w:rPr>
                <w:sz w:val="18"/>
              </w:rPr>
            </w:pPr>
            <w:r>
              <w:rPr>
                <w:sz w:val="18"/>
              </w:rPr>
              <w:t>Efforts should be made to incorporate the minimum standard parameters into these areas.</w:t>
            </w:r>
          </w:p>
        </w:tc>
      </w:tr>
      <w:tr>
        <w:trPr>
          <w:trHeight w:val="1506" w:hRule="atLeast"/>
        </w:trPr>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rPr>
                <w:i/>
                <w:i/>
                <w:sz w:val="18"/>
                <w:u w:val="single"/>
              </w:rPr>
            </w:pPr>
            <w:r>
              <w:rPr>
                <w:i/>
                <w:sz w:val="18"/>
                <w:u w:val="single"/>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rPr>
                <w:i/>
                <w:i/>
                <w:sz w:val="18"/>
                <w:u w:val="single"/>
              </w:rPr>
            </w:pPr>
            <w:r>
              <w:rPr>
                <w:i/>
                <w:sz w:val="18"/>
                <w:u w:val="single"/>
              </w:rPr>
            </w:r>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rPr>
                <w:sz w:val="18"/>
              </w:rPr>
            </w:pPr>
            <w:r>
              <w:rPr>
                <w:sz w:val="18"/>
              </w:rPr>
              <w:t>Access and Security, Critical Applications</w:t>
            </w:r>
          </w:p>
        </w:tc>
        <w:tc>
          <w:tcPr>
            <w:tcW w:w="2790" w:type="dxa"/>
            <w:tcBorders>
              <w:top w:val="single" w:sz="6" w:space="0" w:color="000000"/>
              <w:start w:val="single" w:sz="6" w:space="0" w:color="000000"/>
              <w:bottom w:val="single" w:sz="6" w:space="0" w:color="000000"/>
              <w:end w:val="single" w:sz="6" w:space="0" w:color="000000"/>
            </w:tcBorders>
          </w:tcPr>
          <w:p>
            <w:pPr>
              <w:pStyle w:val="ListBullet3"/>
              <w:spacing w:lineRule="auto" w:line="240"/>
              <w:rPr/>
            </w:pPr>
            <w:r>
              <w:rPr/>
              <w:t>Data is captured, stored, and transferred completely and accurately</w:t>
            </w:r>
          </w:p>
        </w:tc>
        <w:tc>
          <w:tcPr>
            <w:tcW w:w="16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jc w:val="center"/>
              <w:rPr>
                <w:sz w:val="18"/>
              </w:rPr>
            </w:pPr>
            <w:r>
              <w:rPr>
                <w:sz w:val="18"/>
              </w:rPr>
              <w:t>Yes</w:t>
            </w:r>
          </w:p>
        </w:tc>
        <w:tc>
          <w:tcPr>
            <w:tcW w:w="27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62" w:leader="none"/>
              </w:tabs>
              <w:rPr>
                <w:sz w:val="18"/>
              </w:rPr>
            </w:pPr>
            <w:r>
              <w:rPr>
                <w:sz w:val="18"/>
              </w:rPr>
              <w:t>Control totals are used to ensure complete data transfer between EOL and downstream systems</w:t>
            </w:r>
          </w:p>
          <w:p>
            <w:pPr>
              <w:pStyle w:val="Normal"/>
              <w:tabs>
                <w:tab w:val="clear" w:pos="720"/>
                <w:tab w:val="left" w:pos="162" w:leader="none"/>
              </w:tabs>
              <w:rPr>
                <w:sz w:val="18"/>
              </w:rPr>
            </w:pPr>
            <w:r>
              <w:rPr>
                <w:sz w:val="18"/>
              </w:rPr>
            </w:r>
          </w:p>
          <w:p>
            <w:pPr>
              <w:pStyle w:val="Normal"/>
              <w:tabs>
                <w:tab w:val="clear" w:pos="720"/>
                <w:tab w:val="left" w:pos="162" w:leader="none"/>
              </w:tabs>
              <w:rPr>
                <w:sz w:val="18"/>
              </w:rPr>
            </w:pPr>
            <w:r>
              <w:rPr>
                <w:sz w:val="18"/>
              </w:rPr>
              <w:t>Manual oversight of bridges and interfaces to detect errors.</w:t>
            </w:r>
          </w:p>
          <w:p>
            <w:pPr>
              <w:pStyle w:val="Normal"/>
              <w:tabs>
                <w:tab w:val="clear" w:pos="720"/>
                <w:tab w:val="left" w:pos="162" w:leader="none"/>
              </w:tabs>
              <w:rPr>
                <w:sz w:val="18"/>
              </w:rPr>
            </w:pPr>
            <w:r>
              <w:rPr>
                <w:sz w:val="18"/>
              </w:rPr>
            </w:r>
          </w:p>
          <w:p>
            <w:pPr>
              <w:pStyle w:val="Normal"/>
              <w:tabs>
                <w:tab w:val="clear" w:pos="720"/>
                <w:tab w:val="left" w:pos="162" w:leader="none"/>
              </w:tabs>
              <w:rPr>
                <w:sz w:val="18"/>
              </w:rPr>
            </w:pPr>
            <w:r>
              <w:rPr>
                <w:sz w:val="18"/>
              </w:rPr>
              <w:t>Deal numbers and deal status is received from the downstream systems.</w:t>
            </w:r>
          </w:p>
          <w:p>
            <w:pPr>
              <w:pStyle w:val="Normal"/>
              <w:tabs>
                <w:tab w:val="clear" w:pos="720"/>
                <w:tab w:val="left" w:pos="162" w:leader="none"/>
              </w:tabs>
              <w:rPr>
                <w:sz w:val="18"/>
              </w:rPr>
            </w:pPr>
            <w:r>
              <w:rPr>
                <w:sz w:val="18"/>
              </w:rPr>
            </w:r>
          </w:p>
        </w:tc>
        <w:tc>
          <w:tcPr>
            <w:tcW w:w="4050" w:type="dxa"/>
            <w:tcBorders>
              <w:top w:val="single" w:sz="6" w:space="0" w:color="000000"/>
              <w:start w:val="single" w:sz="6" w:space="0" w:color="000000"/>
              <w:bottom w:val="single" w:sz="6" w:space="0" w:color="000000"/>
              <w:end w:val="single" w:sz="6" w:space="0" w:color="000000"/>
            </w:tcBorders>
          </w:tcPr>
          <w:p>
            <w:pPr>
              <w:pStyle w:val="BodyText2"/>
              <w:numPr>
                <w:ilvl w:val="0"/>
                <w:numId w:val="25"/>
              </w:numPr>
              <w:tabs>
                <w:tab w:val="clear" w:pos="720"/>
                <w:tab w:val="left" w:pos="252" w:leader="none"/>
              </w:tabs>
              <w:rPr>
                <w:b/>
              </w:rPr>
            </w:pPr>
            <w:r>
              <w:rPr/>
              <w:t xml:space="preserve">Daily management reports are created from an Access database that receives direct inputs from TAGG and manual inputs from back office personnel.  Manual processes increase the risk of inaccurate or incomplete data.  </w:t>
            </w:r>
            <w:r>
              <w:rPr>
                <w:b/>
              </w:rPr>
              <w:t>(EOL)</w:t>
            </w:r>
          </w:p>
          <w:p>
            <w:pPr>
              <w:pStyle w:val="BodyText2"/>
              <w:tabs>
                <w:tab w:val="clear" w:pos="720"/>
                <w:tab w:val="left" w:pos="252" w:leader="none"/>
              </w:tabs>
              <w:rPr>
                <w:b/>
              </w:rPr>
            </w:pPr>
            <w:r>
              <w:rPr>
                <w:b/>
              </w:rPr>
            </w:r>
          </w:p>
          <w:p>
            <w:pPr>
              <w:pStyle w:val="BodyText2"/>
              <w:numPr>
                <w:ilvl w:val="0"/>
                <w:numId w:val="27"/>
              </w:numPr>
              <w:tabs>
                <w:tab w:val="clear" w:pos="720"/>
                <w:tab w:val="left" w:pos="252" w:leader="none"/>
              </w:tabs>
              <w:rPr>
                <w:b/>
              </w:rPr>
            </w:pPr>
            <w:r>
              <w:rPr/>
              <w:t xml:space="preserve">The TIBCO Bridge connecting EOL with the backend deal-capture databases does not validate the accuracy of information received from EOL.  This prevents early detection of corrupted or otherwise incorrect data transferring to backend systems and increases the risk that critical transaction information is lost.  </w:t>
            </w:r>
            <w:r>
              <w:rPr>
                <w:b/>
              </w:rPr>
              <w:t>(EOL)</w:t>
            </w:r>
          </w:p>
          <w:p>
            <w:pPr>
              <w:pStyle w:val="BodyText2"/>
              <w:tabs>
                <w:tab w:val="clear" w:pos="720"/>
                <w:tab w:val="left" w:pos="252" w:leader="none"/>
              </w:tabs>
              <w:rPr>
                <w:b/>
              </w:rPr>
            </w:pPr>
            <w:r>
              <w:rPr>
                <w:b/>
              </w:rPr>
            </w:r>
          </w:p>
          <w:p>
            <w:pPr>
              <w:pStyle w:val="BodyText2"/>
              <w:numPr>
                <w:ilvl w:val="0"/>
                <w:numId w:val="26"/>
              </w:numPr>
              <w:tabs>
                <w:tab w:val="clear" w:pos="720"/>
                <w:tab w:val="left" w:pos="252" w:leader="none"/>
              </w:tabs>
              <w:rPr/>
            </w:pPr>
            <w:r>
              <w:rPr/>
              <w:t xml:space="preserve">Much of the counterparty administration process, including the initial setup, authorizing the counterparty according to products, and establishing credit limits, is initially performed outside the EOL application.  This significantly increases the possibility of data entry errors and lengthens time-to-completion.  </w:t>
            </w:r>
            <w:r>
              <w:rPr>
                <w:b/>
              </w:rPr>
              <w:t>(EOL)</w:t>
            </w:r>
          </w:p>
        </w:tc>
        <w:tc>
          <w:tcPr>
            <w:tcW w:w="3510" w:type="dxa"/>
            <w:tcBorders>
              <w:top w:val="single" w:sz="6" w:space="0" w:color="000000"/>
              <w:start w:val="single" w:sz="6" w:space="0" w:color="000000"/>
              <w:bottom w:val="single" w:sz="6" w:space="0" w:color="000000"/>
              <w:end w:val="single" w:sz="6" w:space="0" w:color="000000"/>
            </w:tcBorders>
          </w:tcPr>
          <w:p>
            <w:pPr>
              <w:pStyle w:val="Normal"/>
              <w:numPr>
                <w:ilvl w:val="0"/>
                <w:numId w:val="22"/>
              </w:numPr>
              <w:tabs>
                <w:tab w:val="clear" w:pos="720"/>
                <w:tab w:val="left" w:pos="252" w:leader="none"/>
              </w:tabs>
              <w:rPr>
                <w:sz w:val="18"/>
              </w:rPr>
            </w:pPr>
            <w:r>
              <w:rPr>
                <w:sz w:val="18"/>
              </w:rPr>
              <w:t>Implement automated interface(s) from the back office systems to ensure data integrity of management reporting.</w:t>
            </w:r>
          </w:p>
          <w:p>
            <w:pPr>
              <w:pStyle w:val="Normal"/>
              <w:tabs>
                <w:tab w:val="clear" w:pos="720"/>
                <w:tab w:val="left" w:pos="252" w:leader="none"/>
              </w:tabs>
              <w:rPr>
                <w:sz w:val="18"/>
              </w:rPr>
            </w:pPr>
            <w:r>
              <w:rPr>
                <w:sz w:val="18"/>
              </w:rPr>
            </w:r>
          </w:p>
          <w:p>
            <w:pPr>
              <w:pStyle w:val="Normal"/>
              <w:tabs>
                <w:tab w:val="clear" w:pos="720"/>
                <w:tab w:val="left" w:pos="252" w:leader="none"/>
              </w:tabs>
              <w:rPr>
                <w:sz w:val="18"/>
              </w:rPr>
            </w:pPr>
            <w:r>
              <w:rPr>
                <w:sz w:val="18"/>
              </w:rPr>
            </w:r>
          </w:p>
          <w:p>
            <w:pPr>
              <w:pStyle w:val="Normal"/>
              <w:tabs>
                <w:tab w:val="clear" w:pos="720"/>
                <w:tab w:val="left" w:pos="252" w:leader="none"/>
              </w:tabs>
              <w:rPr>
                <w:sz w:val="18"/>
              </w:rPr>
            </w:pPr>
            <w:r>
              <w:rPr>
                <w:sz w:val="18"/>
              </w:rPr>
            </w:r>
          </w:p>
          <w:p>
            <w:pPr>
              <w:pStyle w:val="Normal"/>
              <w:numPr>
                <w:ilvl w:val="0"/>
                <w:numId w:val="11"/>
              </w:numPr>
              <w:tabs>
                <w:tab w:val="clear" w:pos="720"/>
                <w:tab w:val="left" w:pos="252" w:leader="none"/>
              </w:tabs>
              <w:rPr>
                <w:sz w:val="18"/>
              </w:rPr>
            </w:pPr>
            <w:r>
              <w:rPr>
                <w:sz w:val="18"/>
              </w:rPr>
              <w:t>Implement automated interface controls that will identify any discrepancies in the transfer of information and print exception reports detailing any issues.  Associated processes must be in place to ensure the timely review of such reports.</w:t>
            </w:r>
          </w:p>
          <w:p>
            <w:pPr>
              <w:pStyle w:val="Normal"/>
              <w:tabs>
                <w:tab w:val="clear" w:pos="720"/>
                <w:tab w:val="left" w:pos="252" w:leader="none"/>
              </w:tabs>
              <w:rPr>
                <w:sz w:val="18"/>
              </w:rPr>
            </w:pPr>
            <w:r>
              <w:rPr>
                <w:sz w:val="18"/>
              </w:rPr>
            </w:r>
          </w:p>
          <w:p>
            <w:pPr>
              <w:pStyle w:val="Normal"/>
              <w:numPr>
                <w:ilvl w:val="0"/>
                <w:numId w:val="17"/>
              </w:numPr>
              <w:tabs>
                <w:tab w:val="clear" w:pos="720"/>
                <w:tab w:val="left" w:pos="252" w:leader="none"/>
              </w:tabs>
              <w:rPr>
                <w:sz w:val="18"/>
              </w:rPr>
            </w:pPr>
            <w:r>
              <w:rPr>
                <w:sz w:val="18"/>
              </w:rPr>
              <w:t>Incorporate direct interfaces to real-time customer setup processes as required.</w:t>
            </w:r>
          </w:p>
        </w:tc>
      </w:tr>
      <w:tr>
        <w:trPr>
          <w:trHeight w:val="1506" w:hRule="atLeast"/>
        </w:trPr>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rPr>
                <w:i/>
                <w:i/>
                <w:sz w:val="18"/>
                <w:u w:val="single"/>
              </w:rPr>
            </w:pPr>
            <w:r>
              <w:rPr>
                <w:i/>
                <w:sz w:val="18"/>
                <w:u w:val="single"/>
              </w:rPr>
            </w:r>
          </w:p>
        </w:tc>
        <w:tc>
          <w:tcPr>
            <w:tcW w:w="1350"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Financial Markets</w:t>
            </w:r>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rPr>
                <w:sz w:val="18"/>
              </w:rPr>
            </w:pPr>
            <w:r>
              <w:rPr>
                <w:sz w:val="18"/>
              </w:rPr>
              <w:t>Portfolio Deal Capture</w:t>
            </w:r>
          </w:p>
        </w:tc>
        <w:tc>
          <w:tcPr>
            <w:tcW w:w="2790" w:type="dxa"/>
            <w:tcBorders>
              <w:top w:val="single" w:sz="6" w:space="0" w:color="000000"/>
              <w:start w:val="single" w:sz="6" w:space="0" w:color="000000"/>
              <w:bottom w:val="single" w:sz="6" w:space="0" w:color="000000"/>
              <w:end w:val="single" w:sz="6" w:space="0" w:color="000000"/>
            </w:tcBorders>
          </w:tcPr>
          <w:p>
            <w:pPr>
              <w:pStyle w:val="ListBullet3"/>
              <w:spacing w:lineRule="auto" w:line="240"/>
              <w:rPr/>
            </w:pPr>
            <w:r>
              <w:rPr/>
              <w:t>Information flows are complete and accurate into current systems environment.</w:t>
            </w:r>
          </w:p>
        </w:tc>
        <w:tc>
          <w:tcPr>
            <w:tcW w:w="16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jc w:val="center"/>
              <w:rPr>
                <w:sz w:val="18"/>
              </w:rPr>
            </w:pPr>
            <w:r>
              <w:rPr>
                <w:sz w:val="18"/>
              </w:rPr>
              <w:t>Yes</w:t>
            </w:r>
          </w:p>
        </w:tc>
        <w:tc>
          <w:tcPr>
            <w:tcW w:w="27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62" w:leader="none"/>
              </w:tabs>
              <w:rPr>
                <w:sz w:val="18"/>
              </w:rPr>
            </w:pPr>
            <w:r>
              <w:rPr>
                <w:sz w:val="18"/>
              </w:rPr>
              <w:t>Personnel access the Bridge Monitor Function to monitor the status of deals to be transferred</w:t>
            </w:r>
          </w:p>
          <w:p>
            <w:pPr>
              <w:pStyle w:val="Normal"/>
              <w:tabs>
                <w:tab w:val="clear" w:pos="720"/>
                <w:tab w:val="left" w:pos="162" w:leader="none"/>
              </w:tabs>
              <w:rPr>
                <w:sz w:val="18"/>
              </w:rPr>
            </w:pPr>
            <w:r>
              <w:rPr>
                <w:sz w:val="18"/>
              </w:rPr>
            </w:r>
          </w:p>
          <w:p>
            <w:pPr>
              <w:pStyle w:val="Normal"/>
              <w:tabs>
                <w:tab w:val="clear" w:pos="720"/>
                <w:tab w:val="left" w:pos="162" w:leader="none"/>
              </w:tabs>
              <w:rPr>
                <w:sz w:val="18"/>
              </w:rPr>
            </w:pPr>
            <w:r>
              <w:rPr>
                <w:sz w:val="18"/>
              </w:rPr>
              <w:t>Risk and PCG personnel monitor the data transfer for accuracy</w:t>
            </w:r>
          </w:p>
        </w:tc>
        <w:tc>
          <w:tcPr>
            <w:tcW w:w="4050" w:type="dxa"/>
            <w:tcBorders>
              <w:top w:val="single" w:sz="6" w:space="0" w:color="000000"/>
              <w:start w:val="single" w:sz="6" w:space="0" w:color="000000"/>
              <w:bottom w:val="single" w:sz="6" w:space="0" w:color="000000"/>
              <w:end w:val="single" w:sz="6" w:space="0" w:color="000000"/>
            </w:tcBorders>
          </w:tcPr>
          <w:p>
            <w:pPr>
              <w:pStyle w:val="BodyText2"/>
              <w:numPr>
                <w:ilvl w:val="0"/>
                <w:numId w:val="25"/>
              </w:numPr>
              <w:tabs>
                <w:tab w:val="clear" w:pos="720"/>
                <w:tab w:val="left" w:pos="252" w:leader="none"/>
              </w:tabs>
              <w:rPr/>
            </w:pPr>
            <w:r>
              <w:rPr/>
              <w:t xml:space="preserve">As transactions are failed in the TIBCO application, book administrators must manually capture transactions in the appropriate system.  As this is done, customer legal names could be captured incorrectly, therefore causing problems with credit exposure monitoring.  All EOL customers must transact under preapproved legal names; therefore, any discrepancies in legal entity names between EOL and the capture systems should not occur. </w:t>
            </w:r>
          </w:p>
          <w:p>
            <w:pPr>
              <w:pStyle w:val="BodyText2"/>
              <w:tabs>
                <w:tab w:val="clear" w:pos="720"/>
                <w:tab w:val="left" w:pos="252" w:leader="none"/>
              </w:tabs>
              <w:rPr/>
            </w:pPr>
            <w:r>
              <w:rPr/>
            </w:r>
          </w:p>
          <w:p>
            <w:pPr>
              <w:pStyle w:val="BodyText2"/>
              <w:numPr>
                <w:ilvl w:val="0"/>
                <w:numId w:val="16"/>
              </w:numPr>
              <w:tabs>
                <w:tab w:val="clear" w:pos="720"/>
                <w:tab w:val="left" w:pos="252" w:leader="none"/>
              </w:tabs>
              <w:rPr/>
            </w:pPr>
            <w:r>
              <w:rPr/>
              <w:t>Although there is currently a small volume of paper transactions with one customer, and a small number of weather transactions, there is no process in place to match the deal transacted via EOL to the capture system deal.</w:t>
            </w:r>
          </w:p>
        </w:tc>
        <w:tc>
          <w:tcPr>
            <w:tcW w:w="3510" w:type="dxa"/>
            <w:tcBorders>
              <w:top w:val="single" w:sz="6" w:space="0" w:color="000000"/>
              <w:start w:val="single" w:sz="6" w:space="0" w:color="000000"/>
              <w:bottom w:val="single" w:sz="6" w:space="0" w:color="000000"/>
              <w:end w:val="single" w:sz="6" w:space="0" w:color="000000"/>
            </w:tcBorders>
          </w:tcPr>
          <w:p>
            <w:pPr>
              <w:pStyle w:val="Normal"/>
              <w:numPr>
                <w:ilvl w:val="0"/>
                <w:numId w:val="22"/>
              </w:numPr>
              <w:tabs>
                <w:tab w:val="clear" w:pos="720"/>
                <w:tab w:val="left" w:pos="252" w:leader="none"/>
              </w:tabs>
              <w:rPr>
                <w:sz w:val="18"/>
              </w:rPr>
            </w:pPr>
            <w:r>
              <w:rPr>
                <w:sz w:val="18"/>
              </w:rPr>
              <w:t>Personnel should implement an effective review procedure to ensure this risk is eliminated.</w:t>
            </w:r>
          </w:p>
          <w:p>
            <w:pPr>
              <w:pStyle w:val="Normal"/>
              <w:tabs>
                <w:tab w:val="clear" w:pos="720"/>
                <w:tab w:val="left" w:pos="252" w:leader="none"/>
              </w:tabs>
              <w:rPr>
                <w:sz w:val="18"/>
              </w:rPr>
            </w:pPr>
            <w:r>
              <w:rPr>
                <w:sz w:val="18"/>
              </w:rPr>
            </w:r>
          </w:p>
          <w:p>
            <w:pPr>
              <w:pStyle w:val="Normal"/>
              <w:tabs>
                <w:tab w:val="clear" w:pos="720"/>
                <w:tab w:val="left" w:pos="252" w:leader="none"/>
              </w:tabs>
              <w:rPr>
                <w:sz w:val="18"/>
              </w:rPr>
            </w:pPr>
            <w:r>
              <w:rPr>
                <w:sz w:val="18"/>
              </w:rPr>
            </w:r>
          </w:p>
          <w:p>
            <w:pPr>
              <w:pStyle w:val="Normal"/>
              <w:tabs>
                <w:tab w:val="clear" w:pos="720"/>
                <w:tab w:val="left" w:pos="252" w:leader="none"/>
              </w:tabs>
              <w:rPr>
                <w:sz w:val="18"/>
              </w:rPr>
            </w:pPr>
            <w:r>
              <w:rPr>
                <w:sz w:val="18"/>
              </w:rPr>
            </w:r>
          </w:p>
          <w:p>
            <w:pPr>
              <w:pStyle w:val="Normal"/>
              <w:tabs>
                <w:tab w:val="clear" w:pos="720"/>
                <w:tab w:val="left" w:pos="252" w:leader="none"/>
              </w:tabs>
              <w:rPr>
                <w:sz w:val="18"/>
              </w:rPr>
            </w:pPr>
            <w:r>
              <w:rPr>
                <w:sz w:val="18"/>
              </w:rPr>
            </w:r>
          </w:p>
          <w:p>
            <w:pPr>
              <w:pStyle w:val="Normal"/>
              <w:tabs>
                <w:tab w:val="clear" w:pos="720"/>
                <w:tab w:val="left" w:pos="252" w:leader="none"/>
              </w:tabs>
              <w:rPr>
                <w:sz w:val="18"/>
              </w:rPr>
            </w:pPr>
            <w:r>
              <w:rPr>
                <w:sz w:val="18"/>
              </w:rPr>
            </w:r>
          </w:p>
          <w:p>
            <w:pPr>
              <w:pStyle w:val="Normal"/>
              <w:tabs>
                <w:tab w:val="clear" w:pos="720"/>
                <w:tab w:val="left" w:pos="252" w:leader="none"/>
              </w:tabs>
              <w:rPr>
                <w:sz w:val="18"/>
              </w:rPr>
            </w:pPr>
            <w:r>
              <w:rPr>
                <w:sz w:val="18"/>
              </w:rPr>
            </w:r>
          </w:p>
          <w:p>
            <w:pPr>
              <w:pStyle w:val="Normal"/>
              <w:tabs>
                <w:tab w:val="clear" w:pos="720"/>
                <w:tab w:val="left" w:pos="252" w:leader="none"/>
              </w:tabs>
              <w:rPr>
                <w:sz w:val="18"/>
              </w:rPr>
            </w:pPr>
            <w:r>
              <w:rPr>
                <w:sz w:val="18"/>
              </w:rPr>
            </w:r>
          </w:p>
          <w:p>
            <w:pPr>
              <w:pStyle w:val="Normal"/>
              <w:tabs>
                <w:tab w:val="clear" w:pos="720"/>
                <w:tab w:val="left" w:pos="252" w:leader="none"/>
              </w:tabs>
              <w:rPr>
                <w:sz w:val="18"/>
              </w:rPr>
            </w:pPr>
            <w:r>
              <w:rPr>
                <w:sz w:val="18"/>
              </w:rPr>
            </w:r>
          </w:p>
          <w:p>
            <w:pPr>
              <w:pStyle w:val="Normal"/>
              <w:tabs>
                <w:tab w:val="clear" w:pos="720"/>
                <w:tab w:val="left" w:pos="252" w:leader="none"/>
              </w:tabs>
              <w:rPr>
                <w:sz w:val="18"/>
              </w:rPr>
            </w:pPr>
            <w:r>
              <w:rPr>
                <w:sz w:val="18"/>
              </w:rPr>
            </w:r>
          </w:p>
          <w:p>
            <w:pPr>
              <w:pStyle w:val="Normal"/>
              <w:numPr>
                <w:ilvl w:val="0"/>
                <w:numId w:val="12"/>
              </w:numPr>
              <w:tabs>
                <w:tab w:val="clear" w:pos="720"/>
                <w:tab w:val="left" w:pos="252" w:leader="none"/>
              </w:tabs>
              <w:rPr>
                <w:sz w:val="18"/>
              </w:rPr>
            </w:pPr>
            <w:r>
              <w:rPr>
                <w:sz w:val="18"/>
              </w:rPr>
              <w:t>Although personnel are aware of the deals, the matching of these deals between systems should be adequately documented to provide a paper trail and mitigate deal processing risks.</w:t>
            </w:r>
          </w:p>
        </w:tc>
      </w:tr>
      <w:tr>
        <w:trPr>
          <w:trHeight w:val="1506" w:hRule="atLeast"/>
        </w:trPr>
        <w:tc>
          <w:tcPr>
            <w:tcW w:w="1080" w:type="dxa"/>
            <w:tcBorders>
              <w:top w:val="single" w:sz="6" w:space="0" w:color="000000"/>
              <w:start w:val="single" w:sz="6" w:space="0" w:color="000000"/>
              <w:bottom w:val="single" w:sz="6" w:space="0" w:color="000000"/>
              <w:end w:val="single" w:sz="6" w:space="0" w:color="000000"/>
            </w:tcBorders>
          </w:tcPr>
          <w:p>
            <w:pPr>
              <w:pStyle w:val="Normal"/>
              <w:snapToGrid w:val="false"/>
              <w:rPr>
                <w:i/>
                <w:i/>
                <w:sz w:val="18"/>
                <w:u w:val="single"/>
              </w:rPr>
            </w:pPr>
            <w:r>
              <w:rPr>
                <w:i/>
                <w:sz w:val="18"/>
                <w:u w:val="single"/>
              </w:rPr>
            </w:r>
          </w:p>
        </w:tc>
        <w:tc>
          <w:tcPr>
            <w:tcW w:w="1350"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Financial Markets</w:t>
            </w:r>
          </w:p>
        </w:tc>
        <w:tc>
          <w:tcPr>
            <w:tcW w:w="144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rPr>
                <w:sz w:val="18"/>
              </w:rPr>
            </w:pPr>
            <w:r>
              <w:rPr>
                <w:sz w:val="18"/>
              </w:rPr>
              <w:t xml:space="preserve">Deal Pricing and Execution </w:t>
            </w:r>
          </w:p>
        </w:tc>
        <w:tc>
          <w:tcPr>
            <w:tcW w:w="2790" w:type="dxa"/>
            <w:tcBorders>
              <w:top w:val="single" w:sz="6" w:space="0" w:color="000000"/>
              <w:start w:val="single" w:sz="6" w:space="0" w:color="000000"/>
              <w:bottom w:val="single" w:sz="6" w:space="0" w:color="000000"/>
              <w:end w:val="single" w:sz="6" w:space="0" w:color="000000"/>
            </w:tcBorders>
          </w:tcPr>
          <w:p>
            <w:pPr>
              <w:pStyle w:val="ListBullet3"/>
              <w:spacing w:lineRule="auto" w:line="240"/>
              <w:rPr/>
            </w:pPr>
            <w:r>
              <w:rPr/>
              <w:t xml:space="preserve">Effective pricing mechanism to ensure appropriate calculation of credit headroom limits.  </w:t>
            </w:r>
          </w:p>
        </w:tc>
        <w:tc>
          <w:tcPr>
            <w:tcW w:w="162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jc w:val="center"/>
              <w:rPr>
                <w:sz w:val="18"/>
              </w:rPr>
            </w:pPr>
            <w:r>
              <w:rPr>
                <w:sz w:val="18"/>
              </w:rPr>
              <w:t>Yes</w:t>
            </w:r>
          </w:p>
        </w:tc>
        <w:tc>
          <w:tcPr>
            <w:tcW w:w="270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62" w:leader="none"/>
              </w:tabs>
              <w:rPr>
                <w:sz w:val="18"/>
              </w:rPr>
            </w:pPr>
            <w:r>
              <w:rPr>
                <w:sz w:val="18"/>
              </w:rPr>
              <w:t xml:space="preserve">Automatic alerts are forwarded to credit as customers reach established headroom limits </w:t>
            </w:r>
          </w:p>
        </w:tc>
        <w:tc>
          <w:tcPr>
            <w:tcW w:w="4050" w:type="dxa"/>
            <w:tcBorders>
              <w:top w:val="single" w:sz="6" w:space="0" w:color="000000"/>
              <w:start w:val="single" w:sz="6" w:space="0" w:color="000000"/>
              <w:bottom w:val="single" w:sz="6" w:space="0" w:color="000000"/>
              <w:end w:val="single" w:sz="6" w:space="0" w:color="000000"/>
            </w:tcBorders>
          </w:tcPr>
          <w:p>
            <w:pPr>
              <w:pStyle w:val="BodyText2"/>
              <w:numPr>
                <w:ilvl w:val="0"/>
                <w:numId w:val="25"/>
              </w:numPr>
              <w:tabs>
                <w:tab w:val="clear" w:pos="720"/>
                <w:tab w:val="left" w:pos="252" w:leader="none"/>
              </w:tabs>
              <w:rPr/>
            </w:pPr>
            <w:r>
              <w:rPr/>
              <w:t>Although sigma factors are developed for each product type, these factors are static for the entire team of the product period although market indicators may reflect otherwise.  For example, the sigma factor for a product that extends for 3 months would be the same for month 1 as it is for month 3.</w:t>
            </w:r>
          </w:p>
        </w:tc>
        <w:tc>
          <w:tcPr>
            <w:tcW w:w="3510" w:type="dxa"/>
            <w:tcBorders>
              <w:top w:val="single" w:sz="6" w:space="0" w:color="000000"/>
              <w:start w:val="single" w:sz="6" w:space="0" w:color="000000"/>
              <w:bottom w:val="single" w:sz="6" w:space="0" w:color="000000"/>
              <w:end w:val="single" w:sz="6" w:space="0" w:color="000000"/>
            </w:tcBorders>
          </w:tcPr>
          <w:p>
            <w:pPr>
              <w:pStyle w:val="Normal"/>
              <w:numPr>
                <w:ilvl w:val="0"/>
                <w:numId w:val="22"/>
              </w:numPr>
              <w:tabs>
                <w:tab w:val="clear" w:pos="720"/>
                <w:tab w:val="left" w:pos="252" w:leader="none"/>
              </w:tabs>
              <w:rPr>
                <w:sz w:val="18"/>
              </w:rPr>
            </w:pPr>
            <w:r>
              <w:rPr>
                <w:sz w:val="18"/>
              </w:rPr>
              <w:t xml:space="preserve">Management should consider enhancing the capability of the headroom calculation to accommodate more robust sigma factors.  </w:t>
            </w:r>
          </w:p>
        </w:tc>
      </w:tr>
    </w:tbl>
    <w:p>
      <w:pPr>
        <w:pStyle w:val="Header"/>
        <w:tabs>
          <w:tab w:val="clear" w:pos="4320"/>
          <w:tab w:val="clear" w:pos="8640"/>
        </w:tabs>
        <w:rPr/>
      </w:pPr>
      <w:r>
        <w:rPr/>
      </w:r>
    </w:p>
    <w:sectPr>
      <w:headerReference w:type="default" r:id="rId2"/>
      <w:footerReference w:type="default" r:id="rId3"/>
      <w:type w:val="nextPage"/>
      <w:pgSz w:orient="landscape" w:w="20160" w:h="12240"/>
      <w:pgMar w:left="1440" w:right="1440" w:gutter="0" w:header="720" w:top="2160" w:footer="720" w:bottom="21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7048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70485" cy="160655"/>
                      </a:xfrm>
                      <a:prstGeom prst="rect"/>
                      <a:solidFill>
                        <a:srgbClr val="FFFFFF">
                          <a:alpha val="0"/>
                        </a:srgbClr>
                      </a:solidFill>
                    </wps:spPr>
                    <wps:txbx>
                      <w:txbxContent>
                        <w:p>
                          <w:pPr>
                            <w:pStyle w:val="Footer"/>
                            <w:rPr/>
                          </w:pP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5.55pt;height:12.65pt;mso-wrap-distance-left:0pt;mso-wrap-distance-right:0pt;mso-wrap-distance-top:0pt;mso-wrap-distance-bottom:0pt;margin-top:0.05pt;mso-position-vertical-relative:text;margin-left:858.45pt;mso-position-horizontal:right;mso-position-horizontal-relative:margin">
              <v:fill opacity="0f"/>
              <v:textbox inset="0in,0in,0in,0in">
                <w:txbxContent>
                  <w:p>
                    <w:pPr>
                      <w:pStyle w:val="Footer"/>
                      <w:rPr/>
                    </w:pPr>
                    <w:r>
                      <w:rPr/>
                      <w:fldChar w:fldCharType="begin"/>
                    </w:r>
                    <w:r>
                      <w:rPr/>
                      <w:instrText xml:space="preserve"> PAGE </w:instrText>
                    </w:r>
                    <w:r>
                      <w:rPr/>
                      <w:fldChar w:fldCharType="separate"/>
                    </w:r>
                    <w:r>
                      <w:rPr/>
                      <w:t>3</w:t>
                    </w:r>
                    <w: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z w:val="24"/>
      </w:rPr>
    </w:pPr>
    <w:r>
      <w:rPr>
        <w:b/>
        <w:sz w:val="24"/>
      </w:rPr>
      <w:t>Enron Online</w:t>
    </w:r>
  </w:p>
  <w:p>
    <w:pPr>
      <w:pStyle w:val="Normal"/>
      <w:jc w:val="center"/>
      <w:rPr>
        <w:b/>
        <w:sz w:val="24"/>
      </w:rPr>
    </w:pPr>
    <w:r>
      <w:rPr>
        <w:b/>
        <w:sz w:val="24"/>
      </w:rPr>
      <w:t>Business Risk Management (BRM) Project Reporting Format</w:t>
    </w:r>
  </w:p>
  <w:p>
    <w:pPr>
      <w:pStyle w:val="Normal"/>
      <w:jc w:val="center"/>
      <w:rPr>
        <w:b/>
        <w:sz w:val="24"/>
      </w:rPr>
    </w:pPr>
    <w:r>
      <w:rPr>
        <w:b/>
        <w:sz w:val="24"/>
      </w:rPr>
    </w:r>
  </w:p>
  <w:p>
    <w:pPr>
      <w:pStyle w:val="Normal"/>
      <w:jc w:val="center"/>
      <w:rPr>
        <w:b/>
        <w:sz w:val="24"/>
      </w:rPr>
    </w:pPr>
    <w:r>
      <w:rPr>
        <w:b/>
        <w:sz w:val="24"/>
      </w:rPr>
    </w:r>
  </w:p>
  <w:p>
    <w:pPr>
      <w:pStyle w:val="Normal"/>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283"/>
        </w:tabs>
        <w:ind w:start="283" w:hanging="283"/>
      </w:pPr>
      <w:rPr>
        <w:rFonts w:ascii="Symbol" w:hAnsi="Symbol" w:cs="Symbol" w:hint="default"/>
      </w:rPr>
    </w:lvl>
  </w:abstractNum>
  <w:abstractNum w:abstractNumId="12">
    <w:lvl w:ilvl="0">
      <w:start w:val="1"/>
      <w:numFmt w:val="bullet"/>
      <w:lvlText w:val=""/>
      <w:lvlJc w:val="start"/>
      <w:pPr>
        <w:tabs>
          <w:tab w:val="num" w:pos="283"/>
        </w:tabs>
        <w:ind w:start="283" w:hanging="283"/>
      </w:pPr>
      <w:rPr>
        <w:rFonts w:ascii="Symbol" w:hAnsi="Symbol" w:cs="Symbol" w:hint="default"/>
      </w:rPr>
    </w:lvl>
  </w:abstractNum>
  <w:abstractNum w:abstractNumId="13">
    <w:lvl w:ilvl="0">
      <w:start w:val="1"/>
      <w:numFmt w:val="bullet"/>
      <w:lvlText w:val=""/>
      <w:lvlJc w:val="start"/>
      <w:pPr>
        <w:tabs>
          <w:tab w:val="num" w:pos="283"/>
        </w:tabs>
        <w:ind w:start="283" w:hanging="283"/>
      </w:pPr>
      <w:rPr>
        <w:rFonts w:ascii="Symbol" w:hAnsi="Symbol" w:cs="Symbol" w:hint="default"/>
      </w:rPr>
    </w:lvl>
  </w:abstractNum>
  <w:abstractNum w:abstractNumId="14">
    <w:lvl w:ilvl="0">
      <w:start w:val="1"/>
      <w:numFmt w:val="decimal"/>
      <w:lvlText w:val="%1."/>
      <w:lvlJc w:val="start"/>
      <w:pPr>
        <w:tabs>
          <w:tab w:val="num" w:pos="283"/>
        </w:tabs>
        <w:ind w:start="283" w:hanging="283"/>
      </w:pPr>
    </w:lvl>
  </w:abstractNum>
  <w:abstractNum w:abstractNumId="15">
    <w:lvl w:ilvl="0">
      <w:start w:val="1"/>
      <w:numFmt w:val="bullet"/>
      <w:lvlText w:val=""/>
      <w:lvlJc w:val="start"/>
      <w:pPr>
        <w:tabs>
          <w:tab w:val="num" w:pos="283"/>
        </w:tabs>
        <w:ind w:start="283" w:hanging="283"/>
      </w:pPr>
      <w:rPr>
        <w:rFonts w:ascii="Symbol" w:hAnsi="Symbol" w:cs="Symbol" w:hint="default"/>
      </w:rPr>
    </w:lvl>
  </w:abstractNum>
  <w:abstractNum w:abstractNumId="16">
    <w:lvl w:ilvl="0">
      <w:start w:val="1"/>
      <w:numFmt w:val="bullet"/>
      <w:lvlText w:val=""/>
      <w:lvlJc w:val="start"/>
      <w:pPr>
        <w:tabs>
          <w:tab w:val="num" w:pos="283"/>
        </w:tabs>
        <w:ind w:start="283" w:hanging="283"/>
      </w:pPr>
      <w:rPr>
        <w:rFonts w:ascii="Symbol" w:hAnsi="Symbol" w:cs="Symbol" w:hint="default"/>
      </w:rPr>
    </w:lvl>
  </w:abstractNum>
  <w:abstractNum w:abstractNumId="17">
    <w:lvl w:ilvl="0">
      <w:start w:val="1"/>
      <w:numFmt w:val="bullet"/>
      <w:lvlText w:val=""/>
      <w:lvlJc w:val="start"/>
      <w:pPr>
        <w:tabs>
          <w:tab w:val="num" w:pos="283"/>
        </w:tabs>
        <w:ind w:start="283" w:hanging="283"/>
      </w:pPr>
      <w:rPr>
        <w:rFonts w:ascii="Symbol" w:hAnsi="Symbol" w:cs="Symbol" w:hint="default"/>
      </w:rPr>
    </w:lvl>
  </w:abstractNum>
  <w:abstractNum w:abstractNumId="18">
    <w:lvl w:ilvl="0">
      <w:start w:val="1"/>
      <w:numFmt w:val="bullet"/>
      <w:lvlText w:val=""/>
      <w:lvlJc w:val="start"/>
      <w:pPr>
        <w:tabs>
          <w:tab w:val="num" w:pos="283"/>
        </w:tabs>
        <w:ind w:start="283" w:hanging="283"/>
      </w:pPr>
      <w:rPr>
        <w:rFonts w:ascii="Symbol" w:hAnsi="Symbol" w:cs="Symbol" w:hint="default"/>
      </w:rPr>
    </w:lvl>
  </w:abstractNum>
  <w:abstractNum w:abstractNumId="19">
    <w:lvl w:ilvl="0">
      <w:start w:val="1"/>
      <w:numFmt w:val="bullet"/>
      <w:lvlText w:val=""/>
      <w:lvlJc w:val="start"/>
      <w:pPr>
        <w:tabs>
          <w:tab w:val="num" w:pos="283"/>
        </w:tabs>
        <w:ind w:start="283" w:hanging="283"/>
      </w:pPr>
      <w:rPr>
        <w:rFonts w:ascii="Symbol" w:hAnsi="Symbol" w:cs="Symbol" w:hint="default"/>
      </w:rPr>
    </w:lvl>
  </w:abstractNum>
  <w:abstractNum w:abstractNumId="20">
    <w:lvl w:ilvl="0">
      <w:start w:val="1"/>
      <w:numFmt w:val="bullet"/>
      <w:lvlText w:val=""/>
      <w:lvlJc w:val="start"/>
      <w:pPr>
        <w:tabs>
          <w:tab w:val="num" w:pos="283"/>
        </w:tabs>
        <w:ind w:start="283" w:hanging="283"/>
      </w:pPr>
      <w:rPr>
        <w:rFonts w:ascii="Symbol" w:hAnsi="Symbol" w:cs="Symbol" w:hint="default"/>
      </w:rPr>
    </w:lvl>
  </w:abstractNum>
  <w:abstractNum w:abstractNumId="21">
    <w:lvl w:ilvl="0">
      <w:start w:val="1"/>
      <w:numFmt w:val="bullet"/>
      <w:lvlText w:val=""/>
      <w:lvlJc w:val="start"/>
      <w:pPr>
        <w:tabs>
          <w:tab w:val="num" w:pos="283"/>
        </w:tabs>
        <w:ind w:start="283" w:hanging="283"/>
      </w:pPr>
      <w:rPr>
        <w:rFonts w:ascii="Symbol" w:hAnsi="Symbol" w:cs="Symbol" w:hint="default"/>
      </w:rPr>
    </w:lvl>
  </w:abstractNum>
  <w:abstractNum w:abstractNumId="22">
    <w:lvl w:ilvl="0">
      <w:start w:val="1"/>
      <w:numFmt w:val="bullet"/>
      <w:lvlText w:val=""/>
      <w:lvlJc w:val="start"/>
      <w:pPr>
        <w:tabs>
          <w:tab w:val="num" w:pos="283"/>
        </w:tabs>
        <w:ind w:start="283" w:hanging="283"/>
      </w:pPr>
      <w:rPr>
        <w:rFonts w:ascii="Symbol" w:hAnsi="Symbol" w:cs="Symbol" w:hint="default"/>
      </w:rPr>
    </w:lvl>
  </w:abstractNum>
  <w:abstractNum w:abstractNumId="23">
    <w:lvl w:ilvl="0">
      <w:start w:val="1"/>
      <w:numFmt w:val="bullet"/>
      <w:lvlText w:val=""/>
      <w:lvlJc w:val="start"/>
      <w:pPr>
        <w:tabs>
          <w:tab w:val="num" w:pos="283"/>
        </w:tabs>
        <w:ind w:start="283" w:hanging="283"/>
      </w:pPr>
      <w:rPr>
        <w:rFonts w:ascii="Symbol" w:hAnsi="Symbol" w:cs="Symbol" w:hint="default"/>
      </w:rPr>
    </w:lvl>
  </w:abstractNum>
  <w:abstractNum w:abstractNumId="24">
    <w:lvl w:ilvl="0">
      <w:start w:val="1"/>
      <w:numFmt w:val="bullet"/>
      <w:lvlText w:val=""/>
      <w:lvlJc w:val="start"/>
      <w:pPr>
        <w:tabs>
          <w:tab w:val="num" w:pos="283"/>
        </w:tabs>
        <w:ind w:start="283" w:hanging="283"/>
      </w:pPr>
      <w:rPr>
        <w:rFonts w:ascii="Symbol" w:hAnsi="Symbol" w:cs="Symbol" w:hint="default"/>
      </w:rPr>
    </w:lvl>
  </w:abstractNum>
  <w:abstractNum w:abstractNumId="25">
    <w:lvl w:ilvl="0">
      <w:start w:val="1"/>
      <w:numFmt w:val="bullet"/>
      <w:lvlText w:val=""/>
      <w:lvlJc w:val="start"/>
      <w:pPr>
        <w:tabs>
          <w:tab w:val="num" w:pos="283"/>
        </w:tabs>
        <w:ind w:start="283" w:hanging="283"/>
      </w:pPr>
      <w:rPr>
        <w:rFonts w:ascii="Symbol" w:hAnsi="Symbol" w:cs="Symbol" w:hint="default"/>
      </w:rPr>
    </w:lvl>
  </w:abstractNum>
  <w:abstractNum w:abstractNumId="26">
    <w:lvl w:ilvl="0">
      <w:start w:val="1"/>
      <w:numFmt w:val="bullet"/>
      <w:lvlText w:val=""/>
      <w:lvlJc w:val="start"/>
      <w:pPr>
        <w:tabs>
          <w:tab w:val="num" w:pos="283"/>
        </w:tabs>
        <w:ind w:start="283" w:hanging="283"/>
      </w:pPr>
      <w:rPr>
        <w:rFonts w:ascii="Symbol" w:hAnsi="Symbol" w:cs="Symbol" w:hint="default"/>
      </w:rPr>
    </w:lvl>
  </w:abstractNum>
  <w:abstractNum w:abstractNumId="27">
    <w:lvl w:ilvl="0">
      <w:start w:val="1"/>
      <w:numFmt w:val="bullet"/>
      <w:lvlText w:val=""/>
      <w:lvlJc w:val="start"/>
      <w:pPr>
        <w:tabs>
          <w:tab w:val="num" w:pos="283"/>
        </w:tabs>
        <w:ind w:start="283" w:hanging="283"/>
      </w:pPr>
      <w:rPr>
        <w:rFonts w:ascii="Symbol" w:hAnsi="Symbol" w:cs="Symbol" w:hint="default"/>
      </w:rPr>
    </w:lvl>
  </w:abstractNum>
  <w:abstractNum w:abstractNumId="28">
    <w:lvl w:ilvl="0">
      <w:start w:val="1"/>
      <w:numFmt w:val="decimal"/>
      <w:lvlText w:val="%1)"/>
      <w:lvlJc w:val="start"/>
      <w:pPr>
        <w:tabs>
          <w:tab w:val="num" w:pos="792"/>
        </w:tabs>
        <w:ind w:start="792" w:hanging="360"/>
      </w:pPr>
      <w:rPr/>
    </w:lvl>
  </w:abstractNum>
  <w:abstractNum w:abstractNumId="29">
    <w:lvl w:ilvl="0">
      <w:start w:val="1"/>
      <w:numFmt w:val="bullet"/>
      <w:lvlText w:val=""/>
      <w:lvlJc w:val="start"/>
      <w:pPr>
        <w:tabs>
          <w:tab w:val="num" w:pos="283"/>
        </w:tabs>
        <w:ind w:start="283" w:hanging="283"/>
      </w:pPr>
      <w:rPr>
        <w:rFonts w:ascii="Symbol" w:hAnsi="Symbol" w:cs="Symbol" w:hint="default"/>
      </w:rPr>
    </w:lvl>
  </w:abstractNum>
  <w:abstractNum w:abstractNumId="30">
    <w:lvl w:ilvl="0">
      <w:start w:val="1"/>
      <w:numFmt w:val="bullet"/>
      <w:lvlText w:val=""/>
      <w:lvlJc w:val="start"/>
      <w:pPr>
        <w:tabs>
          <w:tab w:val="num" w:pos="283"/>
        </w:tabs>
        <w:ind w:start="283" w:hanging="283"/>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w="http://schemas.openxmlformats.org/wordprocessingml/2006/main">
  <w:zoom w:percent="8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 w:hAnsi="Book Antiqua" w:eastAsia="Times New Roman" w:cs="Book Antiqua"/>
      <w:color w:val="auto"/>
      <w:sz w:val="22"/>
      <w:szCs w:val="20"/>
      <w:lang w:val="en-US" w:eastAsia="zh-CN" w:bidi="hi-IN"/>
    </w:rPr>
  </w:style>
  <w:style w:type="paragraph" w:styleId="Heading5">
    <w:name w:val="heading 5"/>
    <w:basedOn w:val="Normal"/>
    <w:next w:val="Normal"/>
    <w:qFormat/>
    <w:pPr>
      <w:keepNext w:val="true"/>
      <w:widowControl w:val="false"/>
      <w:numPr>
        <w:ilvl w:val="4"/>
        <w:numId w:val="1"/>
      </w:numPr>
      <w:outlineLvl w:val="4"/>
    </w:pPr>
    <w:rPr>
      <w:b/>
      <w:i/>
      <w:sz w:val="28"/>
      <w:lang w:eastAsia="en-U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rFonts w:ascii="Symbol" w:hAnsi="Symbol" w:cs="Symbol"/>
      <w:color w:val="000000"/>
      <w:sz w:val="18"/>
    </w:rPr>
  </w:style>
  <w:style w:type="character" w:styleId="WW8Num14z0">
    <w:name w:val="WW8Num14z0"/>
    <w:qFormat/>
    <w:rPr>
      <w:rFonts w:ascii="Symbol" w:hAnsi="Symbol" w:cs="Symbol"/>
      <w:color w:val="auto"/>
    </w:rPr>
  </w:style>
  <w:style w:type="character" w:styleId="WW8Num15z0">
    <w:name w:val="WW8Num15z0"/>
    <w:qFormat/>
    <w:rPr>
      <w:rFonts w:ascii="Symbol" w:hAnsi="Symbol" w:cs="Symbol"/>
      <w:sz w:val="18"/>
    </w:rPr>
  </w:style>
  <w:style w:type="character" w:styleId="WW8Num16z0">
    <w:name w:val="WW8Num16z0"/>
    <w:qFormat/>
    <w:rPr>
      <w:rFonts w:ascii="Symbol" w:hAnsi="Symbol" w:cs="Symbol"/>
      <w:sz w:val="18"/>
    </w:rPr>
  </w:style>
  <w:style w:type="character" w:styleId="WW8Num17z0">
    <w:name w:val="WW8Num17z0"/>
    <w:qFormat/>
    <w:rPr>
      <w:rFonts w:ascii="Book Antiqua" w:hAnsi="Book Antiqua" w:cs="Book Antiqua"/>
      <w:sz w:val="18"/>
    </w:rPr>
  </w:style>
  <w:style w:type="character" w:styleId="WW8Num18z0">
    <w:name w:val="WW8Num18z0"/>
    <w:qFormat/>
    <w:rPr>
      <w:rFonts w:ascii="Symbol" w:hAnsi="Symbol" w:cs="Symbol"/>
      <w:sz w:val="18"/>
    </w:rPr>
  </w:style>
  <w:style w:type="character" w:styleId="WW8Num19z0">
    <w:name w:val="WW8Num19z0"/>
    <w:qFormat/>
    <w:rPr>
      <w:rFonts w:ascii="Symbol" w:hAnsi="Symbol" w:cs="Symbol"/>
      <w:color w:val="000000"/>
      <w:sz w:val="18"/>
    </w:rPr>
  </w:style>
  <w:style w:type="character" w:styleId="WW8Num20z0">
    <w:name w:val="WW8Num20z0"/>
    <w:qFormat/>
    <w:rPr>
      <w:rFonts w:ascii="Book Antiqua" w:hAnsi="Book Antiqua" w:cs="Book Antiqua"/>
      <w:sz w:val="18"/>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Book Antiqua" w:hAnsi="Book Antiqua" w:cs="Book Antiqua"/>
      <w:sz w:val="18"/>
    </w:rPr>
  </w:style>
  <w:style w:type="character" w:styleId="WW8Num27z0">
    <w:name w:val="WW8Num27z0"/>
    <w:qFormat/>
    <w:rPr>
      <w:rFonts w:ascii="Symbol" w:hAnsi="Symbol" w:cs="Symbol"/>
      <w:sz w:val="18"/>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color w:val="auto"/>
    </w:rPr>
  </w:style>
  <w:style w:type="character" w:styleId="WW8Num31z0">
    <w:name w:val="WW8Num31z0"/>
    <w:qFormat/>
    <w:rPr>
      <w:rFonts w:ascii="Symbol" w:hAnsi="Symbol" w:cs="Symbol"/>
      <w:color w:val="auto"/>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Wingdings" w:hAnsi="Wingdings" w:cs="Wingdings"/>
      <w:sz w:val="16"/>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sz w:val="18"/>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Book Antiqua" w:hAnsi="Book Antiqua" w:cs="Book Antiqua"/>
      <w:sz w:val="18"/>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Wingdings" w:hAnsi="Wingdings" w:cs="Wingdings"/>
    </w:rPr>
  </w:style>
  <w:style w:type="character" w:styleId="WW8Num46z0">
    <w:name w:val="WW8Num46z0"/>
    <w:qFormat/>
    <w:rPr>
      <w:rFonts w:ascii="Symbol" w:hAnsi="Symbol" w:cs="Symbol"/>
      <w:color w:val="auto"/>
    </w:rPr>
  </w:style>
  <w:style w:type="character" w:styleId="WW8Num47z0">
    <w:name w:val="WW8Num47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color w:val="000000"/>
      <w:sz w:val="18"/>
    </w:rPr>
  </w:style>
  <w:style w:type="character" w:styleId="WW8Num52z0">
    <w:name w:val="WW8Num52z0"/>
    <w:qFormat/>
    <w:rPr>
      <w:rFonts w:ascii="Symbol" w:hAnsi="Symbol" w:cs="Symbol"/>
    </w:rPr>
  </w:style>
  <w:style w:type="character" w:styleId="WW8Num53z0">
    <w:name w:val="WW8Num53z0"/>
    <w:qFormat/>
    <w:rPr>
      <w:rFonts w:ascii="Symbol" w:hAnsi="Symbol" w:cs="Symbol"/>
      <w:color w:val="auto"/>
    </w:rPr>
  </w:style>
  <w:style w:type="character" w:styleId="WW8Num54z0">
    <w:name w:val="WW8Num54z0"/>
    <w:qFormat/>
    <w:rPr>
      <w:rFonts w:ascii="Symbol" w:hAnsi="Symbol" w:cs="Symbol"/>
      <w:sz w:val="18"/>
    </w:rPr>
  </w:style>
  <w:style w:type="character" w:styleId="WW8Num56z0">
    <w:name w:val="WW8Num56z0"/>
    <w:qFormat/>
    <w:rPr>
      <w:rFonts w:ascii="Symbol" w:hAnsi="Symbol" w:cs="Symbol"/>
      <w:color w:val="auto"/>
    </w:rPr>
  </w:style>
  <w:style w:type="character" w:styleId="WW8Num57z0">
    <w:name w:val="WW8Num57z0"/>
    <w:qFormat/>
    <w:rPr>
      <w:rFonts w:ascii="Book Antiqua" w:hAnsi="Book Antiqua" w:cs="Book Antiqua"/>
      <w:sz w:val="18"/>
    </w:rPr>
  </w:style>
  <w:style w:type="character" w:styleId="WW8Num58z0">
    <w:name w:val="WW8Num58z0"/>
    <w:qFormat/>
    <w:rPr>
      <w:rFonts w:ascii="Symbol" w:hAnsi="Symbol" w:cs="Symbol"/>
      <w:sz w:val="18"/>
    </w:rPr>
  </w:style>
  <w:style w:type="character" w:styleId="WW8Num59z0">
    <w:name w:val="WW8Num59z0"/>
    <w:qFormat/>
    <w:rPr>
      <w:rFonts w:ascii="Symbol" w:hAnsi="Symbol" w:cs="Symbol"/>
    </w:rPr>
  </w:style>
  <w:style w:type="character" w:styleId="WW8Num60z0">
    <w:name w:val="WW8Num60z0"/>
    <w:qFormat/>
    <w:rPr>
      <w:rFonts w:ascii="Symbol" w:hAnsi="Symbol" w:cs="Symbol"/>
      <w:color w:val="auto"/>
    </w:rPr>
  </w:style>
  <w:style w:type="character" w:styleId="WW8Num61z0">
    <w:name w:val="WW8Num61z0"/>
    <w:qFormat/>
    <w:rPr>
      <w:rFonts w:ascii="Symbol" w:hAnsi="Symbol" w:cs="Symbol"/>
      <w:color w:val="auto"/>
    </w:rPr>
  </w:style>
  <w:style w:type="character" w:styleId="WW8Num62z0">
    <w:name w:val="WW8Num62z0"/>
    <w:qFormat/>
    <w:rPr>
      <w:rFonts w:ascii="Symbol" w:hAnsi="Symbol" w:cs="Symbol"/>
      <w:color w:val="auto"/>
    </w:rPr>
  </w:style>
  <w:style w:type="character" w:styleId="WW8Num63z0">
    <w:name w:val="WW8Num63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sz w:val="18"/>
    </w:rPr>
  </w:style>
  <w:style w:type="character" w:styleId="WW8Num67z0">
    <w:name w:val="WW8Num67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color w:val="000000"/>
      <w:sz w:val="18"/>
    </w:rPr>
  </w:style>
  <w:style w:type="character" w:styleId="WW8Num71z0">
    <w:name w:val="WW8Num71z0"/>
    <w:qFormat/>
    <w:rPr>
      <w:rFonts w:ascii="Symbol" w:hAnsi="Symbol" w:cs="Symbol"/>
      <w:sz w:val="18"/>
    </w:rPr>
  </w:style>
  <w:style w:type="character" w:styleId="WW8Num72z0">
    <w:name w:val="WW8Num72z0"/>
    <w:qFormat/>
    <w:rPr>
      <w:rFonts w:ascii="Symbol" w:hAnsi="Symbol" w:cs="Symbol"/>
    </w:rPr>
  </w:style>
  <w:style w:type="character" w:styleId="WW8Num73z0">
    <w:name w:val="WW8Num73z0"/>
    <w:qFormat/>
    <w:rPr>
      <w:rFonts w:ascii="Symbol" w:hAnsi="Symbol" w:cs="Symbol"/>
      <w:color w:val="000000"/>
      <w:sz w:val="18"/>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sz w:val="18"/>
    </w:rPr>
  </w:style>
  <w:style w:type="character" w:styleId="WW8Num81z0">
    <w:name w:val="WW8Num81z0"/>
    <w:qFormat/>
    <w:rPr>
      <w:rFonts w:ascii="Symbol" w:hAnsi="Symbol" w:cs="Symbol"/>
    </w:rPr>
  </w:style>
  <w:style w:type="character" w:styleId="WW8Num82z0">
    <w:name w:val="WW8Num82z0"/>
    <w:qFormat/>
    <w:rPr>
      <w:rFonts w:ascii="Symbol" w:hAnsi="Symbol" w:cs="Symbol"/>
      <w:sz w:val="18"/>
    </w:rPr>
  </w:style>
  <w:style w:type="character" w:styleId="WW8Num83z0">
    <w:name w:val="WW8Num83z0"/>
    <w:qFormat/>
    <w:rPr>
      <w:rFonts w:ascii="Symbol" w:hAnsi="Symbol" w:cs="Symbol"/>
      <w:color w:val="auto"/>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sz w:val="18"/>
    </w:rPr>
  </w:style>
  <w:style w:type="character" w:styleId="WW8Num88z0">
    <w:name w:val="WW8Num88z0"/>
    <w:qFormat/>
    <w:rPr>
      <w:rFonts w:ascii="Symbol" w:hAnsi="Symbol" w:cs="Symbol"/>
    </w:rPr>
  </w:style>
  <w:style w:type="character" w:styleId="WW8Num89z0">
    <w:name w:val="WW8Num89z0"/>
    <w:qFormat/>
    <w:rPr>
      <w:rFonts w:ascii="Symbol" w:hAnsi="Symbol" w:cs="Symbol"/>
      <w:color w:val="000000"/>
      <w:sz w:val="18"/>
    </w:rPr>
  </w:style>
  <w:style w:type="character" w:styleId="WW8Num90z0">
    <w:name w:val="WW8Num90z0"/>
    <w:qFormat/>
    <w:rPr>
      <w:rFonts w:ascii="Symbol" w:hAnsi="Symbol" w:cs="Symbol"/>
      <w:sz w:val="18"/>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sz w:val="18"/>
    </w:rPr>
  </w:style>
  <w:style w:type="character" w:styleId="WW8Num94z0">
    <w:name w:val="WW8Num94z0"/>
    <w:qFormat/>
    <w:rPr>
      <w:rFonts w:ascii="Symbol" w:hAnsi="Symbol" w:cs="Symbol"/>
      <w:sz w:val="16"/>
    </w:rPr>
  </w:style>
  <w:style w:type="character" w:styleId="WW8Num95z0">
    <w:name w:val="WW8Num95z0"/>
    <w:qFormat/>
    <w:rPr>
      <w:rFonts w:ascii="Symbol" w:hAnsi="Symbol" w:cs="Symbol"/>
      <w:color w:val="auto"/>
    </w:rPr>
  </w:style>
  <w:style w:type="character" w:styleId="WW8Num96z0">
    <w:name w:val="WW8Num96z0"/>
    <w:qFormat/>
    <w:rPr>
      <w:rFonts w:ascii="Symbol" w:hAnsi="Symbol" w:cs="Symbol"/>
    </w:rPr>
  </w:style>
  <w:style w:type="character" w:styleId="WW8Num97z0">
    <w:name w:val="WW8Num97z0"/>
    <w:qFormat/>
    <w:rPr>
      <w:rFonts w:ascii="Symbol" w:hAnsi="Symbol" w:cs="Symbol"/>
      <w:color w:val="000000"/>
      <w:sz w:val="18"/>
    </w:rPr>
  </w:style>
  <w:style w:type="character" w:styleId="WW8Num98z0">
    <w:name w:val="WW8Num98z0"/>
    <w:qFormat/>
    <w:rPr>
      <w:rFonts w:ascii="Symbol" w:hAnsi="Symbol" w:cs="Symbol"/>
      <w:sz w:val="18"/>
    </w:rPr>
  </w:style>
  <w:style w:type="character" w:styleId="WW8Num99z0">
    <w:name w:val="WW8Num99z0"/>
    <w:qFormat/>
    <w:rPr>
      <w:rFonts w:ascii="Symbol" w:hAnsi="Symbol" w:cs="Symbol"/>
      <w:sz w:val="16"/>
    </w:rPr>
  </w:style>
  <w:style w:type="character" w:styleId="WW8Num100z0">
    <w:name w:val="WW8Num100z0"/>
    <w:qFormat/>
    <w:rPr>
      <w:rFonts w:ascii="Symbol" w:hAnsi="Symbol" w:cs="Symbol"/>
      <w:color w:val="auto"/>
    </w:rPr>
  </w:style>
  <w:style w:type="character" w:styleId="WW8Num101z0">
    <w:name w:val="WW8Num101z0"/>
    <w:qFormat/>
    <w:rPr>
      <w:rFonts w:ascii="Symbol" w:hAnsi="Symbol" w:cs="Symbol"/>
    </w:rPr>
  </w:style>
  <w:style w:type="character" w:styleId="WW8Num102z0">
    <w:name w:val="WW8Num102z0"/>
    <w:qFormat/>
    <w:rPr>
      <w:rFonts w:ascii="Symbol" w:hAnsi="Symbol" w:cs="Symbol"/>
      <w:sz w:val="18"/>
    </w:rPr>
  </w:style>
  <w:style w:type="character" w:styleId="WW8Num103z0">
    <w:name w:val="WW8Num103z0"/>
    <w:qFormat/>
    <w:rPr>
      <w:rFonts w:ascii="Symbol" w:hAnsi="Symbol" w:cs="Symbol"/>
      <w:color w:val="auto"/>
    </w:rPr>
  </w:style>
  <w:style w:type="character" w:styleId="WW8Num104z0">
    <w:name w:val="WW8Num104z0"/>
    <w:qFormat/>
    <w:rPr>
      <w:rFonts w:ascii="Symbol" w:hAnsi="Symbol" w:cs="Symbol"/>
      <w:sz w:val="16"/>
    </w:rPr>
  </w:style>
  <w:style w:type="character" w:styleId="WW8Num106z0">
    <w:name w:val="WW8Num106z0"/>
    <w:qFormat/>
    <w:rPr>
      <w:rFonts w:ascii="Symbol" w:hAnsi="Symbol" w:cs="Symbol"/>
    </w:rPr>
  </w:style>
  <w:style w:type="character" w:styleId="WW8Num107z0">
    <w:name w:val="WW8Num107z0"/>
    <w:qFormat/>
    <w:rPr>
      <w:rFonts w:ascii="Symbol" w:hAnsi="Symbol" w:cs="Symbol"/>
      <w:sz w:val="18"/>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Book Antiqua" w:hAnsi="Book Antiqua" w:cs="Book Antiqua"/>
      <w:sz w:val="18"/>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color w:val="auto"/>
    </w:rPr>
  </w:style>
  <w:style w:type="character" w:styleId="WW8Num122z0">
    <w:name w:val="WW8Num122z0"/>
    <w:qFormat/>
    <w:rPr>
      <w:rFonts w:ascii="Symbol" w:hAnsi="Symbol" w:cs="Symbol"/>
      <w:sz w:val="18"/>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sz w:val="18"/>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color w:val="000000"/>
      <w:sz w:val="18"/>
    </w:rPr>
  </w:style>
  <w:style w:type="character" w:styleId="WW8Num132z0">
    <w:name w:val="WW8Num132z0"/>
    <w:qFormat/>
    <w:rPr>
      <w:rFonts w:ascii="Symbol" w:hAnsi="Symbol" w:cs="Symbol"/>
    </w:rPr>
  </w:style>
  <w:style w:type="character" w:styleId="WW8Num133z0">
    <w:name w:val="WW8Num133z0"/>
    <w:qFormat/>
    <w:rPr>
      <w:rFonts w:ascii="Symbol" w:hAnsi="Symbol" w:cs="Symbol"/>
      <w:sz w:val="18"/>
    </w:rPr>
  </w:style>
  <w:style w:type="character" w:styleId="WW8Num134z0">
    <w:name w:val="WW8Num134z0"/>
    <w:qFormat/>
    <w:rPr>
      <w:rFonts w:ascii="Symbol" w:hAnsi="Symbol" w:cs="Symbol"/>
    </w:rPr>
  </w:style>
  <w:style w:type="character" w:styleId="WW8Num135z0">
    <w:name w:val="WW8Num135z0"/>
    <w:qFormat/>
    <w:rPr>
      <w:rFonts w:ascii="Symbol" w:hAnsi="Symbol" w:cs="Symbol"/>
      <w:sz w:val="18"/>
    </w:rPr>
  </w:style>
  <w:style w:type="character" w:styleId="WW8Num136z0">
    <w:name w:val="WW8Num136z0"/>
    <w:qFormat/>
    <w:rPr>
      <w:rFonts w:ascii="Symbol" w:hAnsi="Symbol" w:cs="Symbol"/>
      <w:color w:val="000000"/>
      <w:sz w:val="18"/>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sz w:val="18"/>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color w:val="auto"/>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sz w:val="18"/>
    </w:rPr>
  </w:style>
  <w:style w:type="character" w:styleId="WW8Num149z0">
    <w:name w:val="WW8Num149z0"/>
    <w:qFormat/>
    <w:rPr>
      <w:rFonts w:ascii="Symbol" w:hAnsi="Symbol" w:cs="Symbol"/>
      <w:sz w:val="18"/>
    </w:rPr>
  </w:style>
  <w:style w:type="character" w:styleId="WW8Num150z0">
    <w:name w:val="WW8Num150z0"/>
    <w:qFormat/>
    <w:rPr>
      <w:rFonts w:ascii="Symbol" w:hAnsi="Symbol" w:cs="Symbol"/>
      <w:color w:val="000000"/>
      <w:sz w:val="18"/>
    </w:rPr>
  </w:style>
  <w:style w:type="character" w:styleId="WW8Num151z0">
    <w:name w:val="WW8Num151z0"/>
    <w:qFormat/>
    <w:rPr/>
  </w:style>
  <w:style w:type="character" w:styleId="WW8Num152z0">
    <w:name w:val="WW8Num152z0"/>
    <w:qFormat/>
    <w:rPr>
      <w:rFonts w:ascii="Symbol" w:hAnsi="Symbol" w:cs="Symbol"/>
      <w:sz w:val="18"/>
    </w:rPr>
  </w:style>
  <w:style w:type="character" w:styleId="WW8Num153z0">
    <w:name w:val="WW8Num153z0"/>
    <w:qFormat/>
    <w:rPr>
      <w:rFonts w:ascii="Symbol" w:hAnsi="Symbol" w:cs="Symbol"/>
      <w:sz w:val="18"/>
    </w:rPr>
  </w:style>
  <w:style w:type="character" w:styleId="WW8Num154z0">
    <w:name w:val="WW8Num154z0"/>
    <w:qFormat/>
    <w:rPr>
      <w:rFonts w:ascii="Book Antiqua" w:hAnsi="Book Antiqua" w:cs="Book Antiqua"/>
      <w:sz w:val="18"/>
    </w:rPr>
  </w:style>
  <w:style w:type="character" w:styleId="WW8Num155z0">
    <w:name w:val="WW8Num155z0"/>
    <w:qFormat/>
    <w:rPr>
      <w:rFonts w:ascii="Symbol" w:hAnsi="Symbol" w:cs="Symbol"/>
      <w:color w:val="auto"/>
    </w:rPr>
  </w:style>
  <w:style w:type="character" w:styleId="WW8Num156z0">
    <w:name w:val="WW8Num156z0"/>
    <w:qFormat/>
    <w:rPr>
      <w:rFonts w:ascii="Book Antiqua" w:hAnsi="Book Antiqua" w:cs="Book Antiqua"/>
      <w:sz w:val="18"/>
    </w:rPr>
  </w:style>
  <w:style w:type="character" w:styleId="WW8Num157z0">
    <w:name w:val="WW8Num157z0"/>
    <w:qFormat/>
    <w:rPr>
      <w:rFonts w:ascii="Symbol" w:hAnsi="Symbol" w:cs="Symbol"/>
    </w:rPr>
  </w:style>
  <w:style w:type="character" w:styleId="WW8Num158z0">
    <w:name w:val="WW8Num158z0"/>
    <w:qFormat/>
    <w:rPr>
      <w:rFonts w:ascii="Symbol" w:hAnsi="Symbol" w:cs="Symbol"/>
      <w:sz w:val="18"/>
    </w:rPr>
  </w:style>
  <w:style w:type="character" w:styleId="WW8Num159z0">
    <w:name w:val="WW8Num159z0"/>
    <w:qFormat/>
    <w:rPr>
      <w:rFonts w:ascii="Symbol" w:hAnsi="Symbol" w:cs="Symbol"/>
      <w:color w:val="auto"/>
    </w:rPr>
  </w:style>
  <w:style w:type="character" w:styleId="WW8Num160z0">
    <w:name w:val="WW8Num160z0"/>
    <w:qFormat/>
    <w:rPr>
      <w:rFonts w:ascii="Symbol" w:hAnsi="Symbol" w:cs="Symbol"/>
      <w:color w:val="auto"/>
    </w:rPr>
  </w:style>
  <w:style w:type="character" w:styleId="WW8Num161z0">
    <w:name w:val="WW8Num161z0"/>
    <w:qFormat/>
    <w:rPr>
      <w:rFonts w:ascii="Symbol" w:hAnsi="Symbol" w:cs="Symbol"/>
      <w:sz w:val="18"/>
    </w:rPr>
  </w:style>
  <w:style w:type="character" w:styleId="WW8Num162z0">
    <w:name w:val="WW8Num162z0"/>
    <w:qFormat/>
    <w:rPr>
      <w:rFonts w:ascii="Symbol" w:hAnsi="Symbol" w:cs="Symbol"/>
      <w:sz w:val="18"/>
    </w:rPr>
  </w:style>
  <w:style w:type="character" w:styleId="WW8Num163z0">
    <w:name w:val="WW8Num163z0"/>
    <w:qFormat/>
    <w:rPr>
      <w:rFonts w:ascii="Symbol" w:hAnsi="Symbol" w:cs="Symbol"/>
      <w:color w:val="000000"/>
      <w:sz w:val="18"/>
    </w:rPr>
  </w:style>
  <w:style w:type="character" w:styleId="WW8Num164z0">
    <w:name w:val="WW8Num164z0"/>
    <w:qFormat/>
    <w:rPr>
      <w:rFonts w:ascii="Symbol" w:hAnsi="Symbol" w:cs="Symbol"/>
      <w:color w:val="000000"/>
      <w:sz w:val="18"/>
    </w:rPr>
  </w:style>
  <w:style w:type="character" w:styleId="WW8Num165z0">
    <w:name w:val="WW8Num165z0"/>
    <w:qFormat/>
    <w:rPr>
      <w:rFonts w:ascii="Symbol" w:hAnsi="Symbol" w:cs="Symbol"/>
    </w:rPr>
  </w:style>
  <w:style w:type="character" w:styleId="WW8Num166z0">
    <w:name w:val="WW8Num166z0"/>
    <w:qFormat/>
    <w:rPr>
      <w:rFonts w:ascii="Symbol" w:hAnsi="Symbol" w:cs="Symbol"/>
      <w:sz w:val="16"/>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color w:val="000000"/>
      <w:sz w:val="18"/>
    </w:rPr>
  </w:style>
  <w:style w:type="character" w:styleId="WW8Num170z0">
    <w:name w:val="WW8Num170z0"/>
    <w:qFormat/>
    <w:rPr>
      <w:rFonts w:ascii="Symbol" w:hAnsi="Symbol" w:cs="Symbol"/>
    </w:rPr>
  </w:style>
  <w:style w:type="character" w:styleId="WW8Num171z0">
    <w:name w:val="WW8Num171z0"/>
    <w:qFormat/>
    <w:rPr>
      <w:rFonts w:ascii="Wingdings" w:hAnsi="Wingdings" w:cs="Wingdings"/>
      <w:sz w:val="16"/>
    </w:rPr>
  </w:style>
  <w:style w:type="character" w:styleId="WW8Num172z0">
    <w:name w:val="WW8Num172z0"/>
    <w:qFormat/>
    <w:rPr>
      <w:rFonts w:ascii="Symbol" w:hAnsi="Symbol" w:cs="Symbol"/>
    </w:rPr>
  </w:style>
  <w:style w:type="character" w:styleId="WW8Num173z0">
    <w:name w:val="WW8Num173z0"/>
    <w:qFormat/>
    <w:rPr>
      <w:rFonts w:ascii="Symbol" w:hAnsi="Symbol" w:cs="Symbol"/>
      <w:color w:val="000000"/>
      <w:sz w:val="18"/>
    </w:rPr>
  </w:style>
  <w:style w:type="character" w:styleId="WW8Num174z0">
    <w:name w:val="WW8Num174z0"/>
    <w:qFormat/>
    <w:rPr>
      <w:rFonts w:ascii="Symbol" w:hAnsi="Symbol" w:cs="Symbol"/>
      <w:sz w:val="18"/>
    </w:rPr>
  </w:style>
  <w:style w:type="character" w:styleId="WW8Num175z0">
    <w:name w:val="WW8Num175z0"/>
    <w:qFormat/>
    <w:rPr>
      <w:rFonts w:ascii="Wingdings" w:hAnsi="Wingdings" w:cs="Wingdings"/>
      <w:sz w:val="16"/>
    </w:rPr>
  </w:style>
  <w:style w:type="character" w:styleId="WW8NumSt1z0">
    <w:name w:val="WW8NumSt1z0"/>
    <w:qFormat/>
    <w:rPr>
      <w:rFonts w:ascii="Symbol" w:hAnsi="Symbol" w:cs="Symbol"/>
    </w:rPr>
  </w:style>
  <w:style w:type="character" w:styleId="WW8NumSt2z0">
    <w:name w:val="WW8NumSt2z0"/>
    <w:qFormat/>
    <w:rPr>
      <w:rFonts w:ascii="Book Antiqua" w:hAnsi="Book Antiqua" w:cs="Book Antiqua"/>
      <w:sz w:val="18"/>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character" w:styleId="AAReference">
    <w:name w:val="AA Reference"/>
    <w:basedOn w:val="DefaultParagraphFont"/>
    <w:qFormat/>
    <w:rPr>
      <w:rFonts w:ascii="Arial" w:hAnsi="Arial" w:cs="Arial"/>
      <w:strike w:val="false"/>
      <w:dstrike w:val="false"/>
      <w:color w:val="auto"/>
      <w:spacing w:val="0"/>
      <w:w w:val="100"/>
      <w:position w:val="0"/>
      <w:sz w:val="14"/>
      <w:sz w:val="14"/>
      <w:vertAlign w:val="baseline"/>
      <w:lang w:val="en-U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sz w:val="18"/>
      <w:lang w:eastAsia="en-US"/>
    </w:rPr>
  </w:style>
  <w:style w:type="paragraph" w:styleId="List">
    <w:name w:val="List"/>
    <w:basedOn w:val="BodyText"/>
    <w:pPr/>
    <w:rPr>
      <w:rFonts w:cs="NotoSans NF"/>
    </w:rPr>
  </w:style>
  <w:style w:type="paragraph" w:styleId="Caption">
    <w:name w:val="caption"/>
    <w:basedOn w:val="Normal"/>
    <w:next w:val="Normal"/>
    <w:qFormat/>
    <w:pPr>
      <w:tabs>
        <w:tab w:val="clear" w:pos="720"/>
        <w:tab w:val="left" w:pos="1134" w:leader="none"/>
      </w:tabs>
      <w:spacing w:lineRule="atLeast" w:line="280"/>
    </w:pPr>
    <w:rPr>
      <w:rFonts w:ascii="Times New Roman" w:hAnsi="Times New Roman" w:cs="Times New Roman"/>
      <w:b/>
    </w:rPr>
  </w:style>
  <w:style w:type="paragraph" w:styleId="Index">
    <w:name w:val="Index"/>
    <w:basedOn w:val="Normal"/>
    <w:qFormat/>
    <w:pPr>
      <w:suppressLineNumbers/>
    </w:pPr>
    <w:rPr>
      <w:rFonts w:cs="NotoSans NF"/>
    </w:rPr>
  </w:style>
  <w:style w:type="paragraph" w:styleId="MacroText">
    <w:name w:val="Macro Text"/>
    <w:qFormat/>
    <w:pPr>
      <w:widowControl/>
      <w:bidi w:val="0"/>
    </w:pPr>
    <w:rPr>
      <w:rFonts w:ascii="Book Antiqua" w:hAnsi="Book Antiqua" w:eastAsia="Times New Roman" w:cs="Book Antiqua"/>
      <w:color w:val="auto"/>
      <w:sz w:val="16"/>
      <w:szCs w:val="20"/>
      <w:lang w:val="en-US"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AIOCNORMAL">
    <w:name w:val="AIOC NORMAL"/>
    <w:basedOn w:val="Normal"/>
    <w:qFormat/>
    <w:pPr>
      <w:tabs>
        <w:tab w:val="clear" w:pos="720"/>
        <w:tab w:val="left" w:pos="1440" w:leader="none"/>
      </w:tabs>
    </w:pPr>
    <w:rPr/>
  </w:style>
  <w:style w:type="paragraph" w:styleId="ListBullet">
    <w:name w:val="List Bullet"/>
    <w:basedOn w:val="Normal"/>
    <w:qFormat/>
    <w:pPr>
      <w:numPr>
        <w:ilvl w:val="0"/>
        <w:numId w:val="10"/>
      </w:numPr>
      <w:tabs>
        <w:tab w:val="clear" w:pos="720"/>
        <w:tab w:val="left" w:pos="284" w:leader="none"/>
        <w:tab w:val="left" w:pos="1134" w:leader="none"/>
      </w:tabs>
      <w:spacing w:lineRule="atLeast" w:line="280"/>
      <w:ind w:hanging="284" w:start="284" w:end="0"/>
    </w:pPr>
    <w:rPr>
      <w:rFonts w:ascii="Times New Roman" w:hAnsi="Times New Roman" w:cs="Times New Roman"/>
    </w:rPr>
  </w:style>
  <w:style w:type="paragraph" w:styleId="ListBullet2">
    <w:name w:val="List Bullet 2"/>
    <w:basedOn w:val="Normal"/>
    <w:qFormat/>
    <w:pPr>
      <w:numPr>
        <w:ilvl w:val="0"/>
        <w:numId w:val="8"/>
      </w:numPr>
      <w:tabs>
        <w:tab w:val="clear" w:pos="720"/>
        <w:tab w:val="left" w:pos="567" w:leader="none"/>
        <w:tab w:val="left" w:pos="1134" w:leader="none"/>
      </w:tabs>
      <w:spacing w:lineRule="atLeast" w:line="280"/>
      <w:ind w:hanging="284" w:start="851" w:end="0"/>
    </w:pPr>
    <w:rPr>
      <w:rFonts w:ascii="Times New Roman" w:hAnsi="Times New Roman" w:cs="Times New Roman"/>
    </w:rPr>
  </w:style>
  <w:style w:type="paragraph" w:styleId="ListBullet3">
    <w:name w:val="List Bullet 3"/>
    <w:basedOn w:val="Normal"/>
    <w:qFormat/>
    <w:pPr>
      <w:tabs>
        <w:tab w:val="clear" w:pos="720"/>
        <w:tab w:val="left" w:pos="851" w:leader="none"/>
        <w:tab w:val="left" w:pos="1134" w:leader="none"/>
      </w:tabs>
      <w:spacing w:lineRule="atLeast" w:line="280"/>
    </w:pPr>
    <w:rPr>
      <w:sz w:val="18"/>
    </w:rPr>
  </w:style>
  <w:style w:type="paragraph" w:styleId="ListBullet4">
    <w:name w:val="List Bullet 4"/>
    <w:basedOn w:val="Normal"/>
    <w:qFormat/>
    <w:pPr>
      <w:numPr>
        <w:ilvl w:val="0"/>
        <w:numId w:val="7"/>
      </w:numPr>
      <w:tabs>
        <w:tab w:val="clear" w:pos="720"/>
        <w:tab w:val="left" w:pos="1134" w:leader="none"/>
      </w:tabs>
      <w:spacing w:lineRule="atLeast" w:line="280"/>
      <w:ind w:hanging="284" w:start="1418" w:end="0"/>
    </w:pPr>
    <w:rPr>
      <w:rFonts w:ascii="Times New Roman" w:hAnsi="Times New Roman" w:cs="Times New Roman"/>
    </w:rPr>
  </w:style>
  <w:style w:type="paragraph" w:styleId="ListNumber">
    <w:name w:val="List Number"/>
    <w:basedOn w:val="Normal"/>
    <w:qFormat/>
    <w:pPr>
      <w:numPr>
        <w:ilvl w:val="0"/>
        <w:numId w:val="9"/>
      </w:numPr>
      <w:tabs>
        <w:tab w:val="clear" w:pos="720"/>
        <w:tab w:val="left" w:pos="284" w:leader="none"/>
        <w:tab w:val="left" w:pos="1134" w:leader="none"/>
      </w:tabs>
      <w:spacing w:lineRule="atLeast" w:line="280"/>
      <w:ind w:hanging="284" w:start="284" w:end="0"/>
    </w:pPr>
    <w:rPr>
      <w:rFonts w:ascii="Times New Roman" w:hAnsi="Times New Roman" w:cs="Times New Roman"/>
    </w:rPr>
  </w:style>
  <w:style w:type="paragraph" w:styleId="ListNumber2">
    <w:name w:val="List Number 2"/>
    <w:basedOn w:val="Normal"/>
    <w:qFormat/>
    <w:pPr>
      <w:numPr>
        <w:ilvl w:val="0"/>
        <w:numId w:val="5"/>
      </w:numPr>
      <w:tabs>
        <w:tab w:val="clear" w:pos="720"/>
        <w:tab w:val="left" w:pos="567" w:leader="none"/>
        <w:tab w:val="left" w:pos="1134" w:leader="none"/>
      </w:tabs>
      <w:spacing w:lineRule="atLeast" w:line="280"/>
      <w:ind w:hanging="284" w:start="851" w:end="0"/>
    </w:pPr>
    <w:rPr>
      <w:rFonts w:ascii="Times New Roman" w:hAnsi="Times New Roman" w:cs="Times New Roman"/>
    </w:rPr>
  </w:style>
  <w:style w:type="paragraph" w:styleId="ListNumber3">
    <w:name w:val="List Number 3"/>
    <w:basedOn w:val="Normal"/>
    <w:qFormat/>
    <w:pPr>
      <w:numPr>
        <w:ilvl w:val="0"/>
        <w:numId w:val="4"/>
      </w:numPr>
      <w:tabs>
        <w:tab w:val="clear" w:pos="720"/>
        <w:tab w:val="left" w:pos="851" w:leader="none"/>
        <w:tab w:val="left" w:pos="1134" w:leader="none"/>
      </w:tabs>
      <w:spacing w:lineRule="atLeast" w:line="280"/>
      <w:ind w:hanging="284" w:start="1135" w:end="0"/>
    </w:pPr>
    <w:rPr>
      <w:rFonts w:ascii="Times New Roman" w:hAnsi="Times New Roman" w:cs="Times New Roman"/>
    </w:rPr>
  </w:style>
  <w:style w:type="paragraph" w:styleId="ListNumber5">
    <w:name w:val="List Number 5"/>
    <w:basedOn w:val="Normal"/>
    <w:qFormat/>
    <w:pPr>
      <w:numPr>
        <w:ilvl w:val="0"/>
        <w:numId w:val="2"/>
      </w:numPr>
      <w:tabs>
        <w:tab w:val="clear" w:pos="720"/>
        <w:tab w:val="left" w:pos="1134" w:leader="none"/>
        <w:tab w:val="left" w:pos="1418" w:leader="none"/>
      </w:tabs>
      <w:spacing w:lineRule="atLeast" w:line="280"/>
      <w:ind w:hanging="284" w:start="1418" w:end="0"/>
    </w:pPr>
    <w:rPr>
      <w:rFonts w:ascii="Times New Roman" w:hAnsi="Times New Roman" w:cs="Times New Roman"/>
    </w:rPr>
  </w:style>
  <w:style w:type="paragraph" w:styleId="ListNumber4">
    <w:name w:val="List Number 4"/>
    <w:basedOn w:val="Normal"/>
    <w:qFormat/>
    <w:pPr>
      <w:numPr>
        <w:ilvl w:val="0"/>
        <w:numId w:val="3"/>
      </w:numPr>
      <w:tabs>
        <w:tab w:val="clear" w:pos="720"/>
        <w:tab w:val="left" w:pos="1134" w:leader="none"/>
        <w:tab w:val="left" w:pos="1418" w:leader="none"/>
      </w:tabs>
      <w:spacing w:lineRule="atLeast" w:line="280"/>
      <w:ind w:hanging="0" w:start="1209" w:end="0"/>
    </w:pPr>
    <w:rPr>
      <w:rFonts w:ascii="Times New Roman" w:hAnsi="Times New Roman" w:cs="Times New Roman"/>
    </w:rPr>
  </w:style>
  <w:style w:type="paragraph" w:styleId="ListBullet5">
    <w:name w:val="List Bullet 5"/>
    <w:basedOn w:val="Normal"/>
    <w:qFormat/>
    <w:pPr>
      <w:numPr>
        <w:ilvl w:val="0"/>
        <w:numId w:val="6"/>
      </w:numPr>
      <w:tabs>
        <w:tab w:val="clear" w:pos="720"/>
        <w:tab w:val="left" w:pos="1134" w:leader="none"/>
        <w:tab w:val="left" w:pos="1418" w:leader="none"/>
      </w:tabs>
      <w:spacing w:lineRule="atLeast" w:line="280"/>
      <w:ind w:hanging="284" w:start="1702" w:end="0"/>
    </w:pPr>
    <w:rPr>
      <w:rFonts w:ascii="Times New Roman" w:hAnsi="Times New Roman" w:cs="Times New Roman"/>
    </w:rPr>
  </w:style>
  <w:style w:type="paragraph" w:styleId="AA1stlevelbullet">
    <w:name w:val="AA 1st level bullet"/>
    <w:basedOn w:val="Normal"/>
    <w:qFormat/>
    <w:pPr>
      <w:numPr>
        <w:ilvl w:val="0"/>
        <w:numId w:val="18"/>
      </w:numPr>
      <w:tabs>
        <w:tab w:val="clear" w:pos="720"/>
      </w:tabs>
      <w:spacing w:lineRule="atLeast" w:line="280"/>
      <w:ind w:hanging="284" w:start="284" w:end="0"/>
    </w:pPr>
    <w:rPr>
      <w:rFonts w:ascii="Times New Roman" w:hAnsi="Times New Roman" w:cs="Times New Roman"/>
    </w:rPr>
  </w:style>
  <w:style w:type="paragraph" w:styleId="AA2ndlevelbullet">
    <w:name w:val="AA 2nd level bullet"/>
    <w:basedOn w:val="AA1stlevelbullet"/>
    <w:qFormat/>
    <w:pPr>
      <w:numPr>
        <w:ilvl w:val="0"/>
        <w:numId w:val="20"/>
      </w:numPr>
      <w:tabs>
        <w:tab w:val="left" w:pos="360" w:leader="none"/>
      </w:tabs>
      <w:ind w:hanging="284" w:start="568" w:end="0"/>
    </w:pPr>
    <w:rPr/>
  </w:style>
  <w:style w:type="paragraph" w:styleId="AANumbering">
    <w:name w:val="AA Numbering"/>
    <w:basedOn w:val="Normal"/>
    <w:qFormat/>
    <w:pPr>
      <w:numPr>
        <w:ilvl w:val="0"/>
        <w:numId w:val="14"/>
      </w:numPr>
      <w:tabs>
        <w:tab w:val="clear" w:pos="720"/>
        <w:tab w:val="left" w:pos="1134" w:leader="none"/>
      </w:tabs>
      <w:spacing w:lineRule="atLeast" w:line="280"/>
      <w:ind w:hanging="0" w:start="0" w:end="0"/>
    </w:pPr>
    <w:rPr>
      <w:rFonts w:ascii="Times New Roman" w:hAnsi="Times New Roman" w:cs="Times New Roman"/>
    </w:rPr>
  </w:style>
  <w:style w:type="paragraph" w:styleId="BodyText2">
    <w:name w:val="Body Text 2"/>
    <w:basedOn w:val="Normal"/>
    <w:qFormat/>
    <w:pPr/>
    <w:rPr>
      <w:sz w:val="18"/>
    </w:rPr>
  </w:style>
  <w:style w:type="paragraph" w:styleId="BodyText3">
    <w:name w:val="Body Text 3"/>
    <w:basedOn w:val="Normal"/>
    <w:qFormat/>
    <w:pPr>
      <w:tabs>
        <w:tab w:val="clear" w:pos="720"/>
        <w:tab w:val="left" w:pos="252" w:leader="none"/>
      </w:tabs>
    </w:pPr>
    <w:rPr>
      <w:b/>
      <w:i/>
      <w:sz w:val="18"/>
    </w:rPr>
  </w:style>
  <w:style w:type="paragraph" w:styleId="BodyTextIndent">
    <w:name w:val="Body Text Indent"/>
    <w:basedOn w:val="Normal"/>
    <w:pPr>
      <w:tabs>
        <w:tab w:val="clear" w:pos="720"/>
        <w:tab w:val="left" w:pos="252" w:leader="none"/>
      </w:tabs>
      <w:ind w:hanging="0" w:start="432" w:end="0"/>
    </w:pPr>
    <w:rPr>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401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2000-07-06T20:23:00Z</dcterms:created>
  <dc:creator>donnelcc</dc:creator>
  <dc:description/>
  <dc:language>en-CA</dc:language>
  <cp:lastModifiedBy>Arthur Andersen</cp:lastModifiedBy>
  <cp:lastPrinted>2000-08-23T17:22:00Z</cp:lastPrinted>
  <dcterms:modified xsi:type="dcterms:W3CDTF">2000-08-27T15:10:00Z</dcterms:modified>
  <cp:revision>25</cp:revision>
  <dc:subject/>
  <dc:title>Project Name</dc:title>
</cp:coreProperties>
</file>