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numbering.xml" ContentType="application/vnd.openxmlformats-officedocument.wordprocessingml.numbering+xml"/>
  <Override PartName="/word/fontTable.xml" ContentType="application/vnd.openxmlformats-officedocument.wordprocessingml.fontTable+xml"/>
  <Override PartName="/word/document.xml" ContentType="application/vnd.openxmlformats-officedocument.wordprocessingml.document.main+xml"/>
  <Override PartName="/word/styles.xml" ContentType="application/vnd.openxmlformats-officedocument.wordprocessingml.styles+xml"/>
  <Override PartName="/word/header4.xml" ContentType="application/vnd.openxmlformats-officedocument.wordprocessingml.header+xml"/>
  <Override PartName="/word/theme/theme1.xml" ContentType="application/vnd.openxmlformats-officedocument.theme+xml"/>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1.xml" ContentType="application/vnd.openxmlformats-officedocument.wordprocessingml.footer+xml"/>
  <Override PartName="/word/header3.xml" ContentType="application/vnd.openxmlformats-officedocument.wordprocessingml.header+xml"/>
  <Override PartName="/word/settings.xml" ContentType="application/vnd.openxmlformats-officedocument.wordprocessingml.settings+xml"/>
  <Override PartName="/word/footer4.xml" ContentType="application/vnd.openxmlformats-officedocument.wordprocessingml.footer+xml"/>
  <Override PartName="/word/footnotes.xml" ContentType="application/vnd.openxmlformats-officedocument.wordprocessingml.footnotes+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Dateline"/>
        <w:numPr>
          <w:ilvl w:val="0"/>
          <w:numId w:val="0"/>
        </w:numPr>
        <w:spacing w:before="1920" w:after="720"/>
        <w:ind w:hanging="0" w:start="5040"/>
        <w:outlineLvl w:val="0"/>
        <w:rPr/>
      </w:pPr>
      <w:r>
        <w:rPr/>
        <w:t>August __, 2000</w:t>
      </w:r>
    </w:p>
    <w:p>
      <w:pPr>
        <w:pStyle w:val="BodyText"/>
        <w:rPr>
          <w:u w:val="single"/>
        </w:rPr>
      </w:pPr>
      <w:r>
        <w:rPr>
          <w:u w:val="single"/>
        </w:rPr>
        <w:t>Via Facsimile</w:t>
      </w:r>
    </w:p>
    <w:p>
      <w:pPr>
        <w:pStyle w:val="BodyText"/>
        <w:rPr/>
      </w:pPr>
      <w:r>
        <w:rPr/>
        <w:t>Mr. John C. Lawton</w:t>
        <w:br/>
        <w:t>Acting Director</w:t>
        <w:br/>
        <w:t>Division of Trading and Markets</w:t>
        <w:br/>
        <w:t>Commodity Futures Trading Commission</w:t>
        <w:br/>
        <w:t>1155 21st Street, N.W.</w:t>
        <w:br/>
        <w:t>Washington, D.C. 20581</w:t>
      </w:r>
    </w:p>
    <w:p>
      <w:pPr>
        <w:pStyle w:val="Reline"/>
        <w:rPr/>
      </w:pPr>
      <w:r>
        <w:rPr/>
        <w:t>Re:</w:t>
        <w:tab/>
      </w:r>
      <w:r>
        <w:rPr>
          <w:u w:val="single"/>
        </w:rPr>
        <w:t>Electronic Commodities Trading Platform</w:t>
      </w:r>
    </w:p>
    <w:p>
      <w:pPr>
        <w:pStyle w:val="BodyText"/>
        <w:rPr/>
      </w:pPr>
      <w:r>
        <w:rPr/>
        <w:t>Dear Mr. Lawton:</w:t>
      </w:r>
    </w:p>
    <w:p>
      <w:pPr>
        <w:pStyle w:val="BodyTextIndent"/>
        <w:rPr/>
      </w:pPr>
      <w:r>
        <w:rPr/>
        <w:t xml:space="preserve">On behalf of Enron Corp. and its affiliates (collectively, “Enron”), we respectfully request the written confirmation of the Division of Trading and Markets and the Division of Economic Analysis (the “Divisions”) that the Divisions will not recommend that the Commodity Futures Trading Commission (the “Commission”) initiate enforcement action under the Commodity Exchange Act, 7 U.S.C. § 1 </w:t>
      </w:r>
      <w:r>
        <w:rPr>
          <w:u w:val="single"/>
        </w:rPr>
        <w:t>et</w:t>
      </w:r>
      <w:r>
        <w:rPr/>
        <w:t xml:space="preserve"> </w:t>
      </w:r>
      <w:r>
        <w:rPr>
          <w:u w:val="single"/>
        </w:rPr>
        <w:t>seq</w:t>
      </w:r>
      <w:r>
        <w:rPr/>
        <w:t>. (the “Act”), or the regulations promulgated thereunder, in connection with (i) the modification (as described below) of the operations of EnronOnline, a currently operating electronic platform for the trading of physical commodities and related derivative products (“EOL”) which is owned and operated by Enron, (ii) any transactions effected through EOL as so modified or (iii) any participants in these transactions.</w:t>
      </w:r>
      <w:r>
        <w:rPr>
          <w:rStyle w:val="FootnoteCharacters"/>
          <w:rStyle w:val="FootnoteReference"/>
        </w:rPr>
        <w:footnoteReference w:customMarkFollows="1" w:id="2"/>
        <w:t>*</w:t>
      </w:r>
    </w:p>
    <w:p>
      <w:pPr>
        <w:pStyle w:val="BodyTextIndent"/>
        <w:rPr/>
      </w:pPr>
      <w:r>
        <w:rPr/>
        <w:t xml:space="preserve">EOL is one of the largest business-to-business websites in the world.  Since its launch in November 1999, EOL has completed more than [178,000] transactions with a gross transaction value in excess of $[100] billion.  Currently, EOL operates as an Internet-based, proprietary trading system that does not charge its participants subscription fees, broker fees or transaction fees.  All bids and offers on EOL are posted by Enron, and every transaction is entered into between a counterparty and Enron acting as principal. </w:t>
      </w:r>
    </w:p>
    <w:p>
      <w:pPr>
        <w:sectPr>
          <w:headerReference w:type="default" r:id="rId2"/>
          <w:headerReference w:type="first" r:id="rId3"/>
          <w:footerReference w:type="default" r:id="rId4"/>
          <w:footerReference w:type="first" r:id="rId5"/>
          <w:footnotePr>
            <w:numFmt w:val="decimal"/>
          </w:footnotePr>
          <w:type w:val="nextPage"/>
          <w:pgSz w:w="12240" w:h="15840"/>
          <w:pgMar w:left="2160" w:right="1440" w:gutter="0" w:header="720" w:top="1915" w:footer="720" w:bottom="965"/>
          <w:pgNumType w:fmt="decimal"/>
          <w:formProt w:val="false"/>
          <w:titlePg/>
          <w:textDirection w:val="lrTb"/>
          <w:docGrid w:type="default" w:linePitch="360" w:charSpace="0"/>
        </w:sectPr>
      </w:pPr>
    </w:p>
    <w:p>
      <w:pPr>
        <w:pStyle w:val="BodyTextIndent"/>
        <w:rPr/>
      </w:pPr>
      <w:r>
        <w:rPr/>
        <w:t>EOL currently offers participants the ability to trade more than 850 physical and derivative products relating to wholesale power, natural gas, coal, petrochemicals, pulp and paper, emissions credits, bandwidth, weather, physical metals and other commodities.  The derivative products available through EOL include “swap agreements” (as defined in Part 35 of the Commission’s regulations), as well as options and forward contracts.  EOL is available only to Enron counterparties that have been specifically approved, in advance, by Enron, and that satisfy certain qualification criteria.  In particular, each counterparty trading with Enron through EOL must be a commercial or institutional entity with the legal and operational capacity to enter into the transactions it seeks to execute through EOL.</w:t>
      </w:r>
    </w:p>
    <w:p>
      <w:pPr>
        <w:pStyle w:val="BodyTextIndent"/>
        <w:rPr/>
      </w:pPr>
      <w:r>
        <w:rPr/>
        <w:t>In addition, the credit of each counterparty must be approved by Enron and EOL has been constructed to incorporate “credit filters” that are designed to prevent counterparties from entering into transactions that exceed the credit limits (either overall or by product) established by Enron.  Enron also has the ability to limit the types of products a counterparty is eligible to trade if, for example, the counterparty is not permitted by its governing documents or internal approvals, to trade certain types of products.  EOL is accessible only through passwords and is not available to members of the general public.</w:t>
      </w:r>
      <w:r>
        <w:rPr>
          <w:rStyle w:val="FootnoteCharacters"/>
          <w:rStyle w:val="FootnoteReference"/>
        </w:rPr>
        <w:footnoteReference w:customMarkFollows="1" w:id="3"/>
        <w:t>*</w:t>
      </w:r>
      <w:r>
        <w:rPr/>
        <w:t xml:space="preserve"> Approved counterparties are given passwords by Enron and are then responsible for monitoring the use and distribution of passwords.</w:t>
      </w:r>
    </w:p>
    <w:p>
      <w:pPr>
        <w:pStyle w:val="BodyTextIndent"/>
        <w:rPr/>
      </w:pPr>
      <w:r>
        <w:rPr/>
        <w:t>EOL operates on the basis of an electronic trading and matching algorithm, using Secure Sockets Layer (“SSL”) encryption.  Counterparties are able to view bids and offers posted by Enron for the various products available through the system and, subject to their product approvals and credit limits, are able to hit existing bids or offers by “clicking” on the desired price and quantity, or by entering a lesser quantity.  Orders are matched on the EOL server on a strict time and price priority system.  Once a match occurs, Enron must confirm that the order is within the counterparty’s credit limits and is consistent with its product approvals but, subject to this confirmation, the counterparty whose order reaches the server first will have its order executed.  If that order is for less than the full quantity available, a second counterparty whose order is received after the first counterparty’s will be able to execute against the remaining quantity (subject to the same confirmation procedure).  There is no discretion exercised by Enron with respect to the execution of orders and those received first on the server will be executed, if they are entered at the price and for the quantity posted by Enron and are within the counterparty’s credit limits and consistent with its product approvals.  [In connection with each transaction executed through EOL, each of Enron and its counterparty acts solely as principal.]</w:t>
      </w:r>
    </w:p>
    <w:p>
      <w:pPr>
        <w:pStyle w:val="BodyTextIndent"/>
        <w:rPr/>
      </w:pPr>
      <w:r>
        <w:rPr/>
        <w:t>Enron is considering modifying the operation of EOL in order to allow third party participants to post quotations on EOL and to allow other participants to execute transactions against their quotations.  As a result of this modification, Enron will no longer be a party to every transaction executed through EOL, although it will still have the ability to enter into transactions  through EOL as principal on the same terms as other participants.  As modified, EOL will continue to offer participants the opportunity to enter into transactions in the same types of products, including  swap agreements, forward contracts and options.</w:t>
      </w:r>
      <w:r>
        <w:rPr>
          <w:rStyle w:val="FootnoteCharacters"/>
          <w:rStyle w:val="FootnoteReference"/>
        </w:rPr>
        <w:footnoteReference w:customMarkFollows="1" w:id="4"/>
        <w:t>*</w:t>
      </w:r>
      <w:r>
        <w:rPr/>
        <w:t xml:space="preserve"> In the future, Enron may expand EOL’s product offerings; however, any expansion of EOL will not  include agricultural commodities or derivatives thereon. </w:t>
      </w:r>
    </w:p>
    <w:p>
      <w:pPr>
        <w:pStyle w:val="BodyTextIndent"/>
        <w:rPr/>
      </w:pPr>
      <w:r>
        <w:rPr/>
        <w:t>Enron will continue to make EOL available only to participants that have been specifically approved by EOL and that satisfy certain qualification criteria.  In particular, EOL participants will be limited to “eligible swap participants” that are commercial entities encompassed within subsections (1), (2), (3), (6) or (8) of Commission Proposed Rule 35.1(b).</w:t>
      </w:r>
      <w:r>
        <w:rPr>
          <w:rStyle w:val="FootnoteCharacters"/>
          <w:rStyle w:val="FootnoteReference"/>
        </w:rPr>
        <w:footnoteReference w:customMarkFollows="1" w:id="5"/>
        <w:t>*</w:t>
      </w:r>
      <w:r>
        <w:rPr>
          <w:rStyle w:val="FootnoteCharacters"/>
        </w:rPr>
        <w:t>*</w:t>
      </w:r>
      <w:r>
        <w:rPr/>
        <w:t xml:space="preserve">  For this purpose, a “commercial entity”, with respect to a given product, will be defined as an entity that, in connection with its business:  (i) has a demonstrable capacity or ability, directly or through separate contractual arrangements, to make or take delivery of the physical commodity underlying the relevant contract or transaction; (ii) incurs risks, in addition to price risk, related to the physical commodity underlying the relevant contract or transaction; (iii) is a dealer that regularly provides hedging, risk management or market-making services to any of the aforementioned entities; or (iv) is regularly engaged in the business of buying or selling the physical commodity underlying the relevant contract or transaction, or entering into derivative agreements, contracts or transactions in or relating to such commodity.  </w:t>
      </w:r>
    </w:p>
    <w:p>
      <w:pPr>
        <w:pStyle w:val="BodyTextIndent"/>
        <w:rPr/>
      </w:pPr>
      <w:r>
        <w:rPr/>
        <w:t xml:space="preserve">EOL will continue to be password-protected and will be accessible only by those counterparties that have been issued passwords by Enron.  As such, only those participants that have satisfied EOL’s participant qualification criteria will be issued a password, thereby preserving Enron’s ability to approve each participant prior to granting it access to EOL.  Enron will no longer apply its own credit criteria in determining a counterparty’s eligibility to participate on EOL.  However, each counterparty will be required to provide EOL with a list of its approved counterparties.  A participant’s determination of each of its approved counterparties, including the standards applied in making this determination (which may include credit or other considerations), will be left to each participant in its sole discretion, including the addition or removal of a participant from its list of approved counterparties.  EOL will then employ “filters” to ensure that each participant enters into transactions only with those other participants that it has approved as counterparties. </w:t>
      </w:r>
    </w:p>
    <w:p>
      <w:pPr>
        <w:pStyle w:val="BodyTextIndent"/>
        <w:rPr/>
      </w:pPr>
      <w:r>
        <w:rPr/>
        <w:t>EOL will continue to utilize an electronic trading and matching system that allows participants to post bids and offers on a real-time basis via the Internet using SSL encryption.  Furthermore, EOL’s technology will provide all participants with fair and impartial access to posted bids and offers, and bids and offers will continue to be matched strictly on the basis of time and price priority.  In this regard, although Enron will continue to own and operate EOL, Enron will implement and enforce policies and procedures designed to ensure that all participants are treated fairly and equitably and that neither Enron nor any other participant is given preferential access to information or transactions.  [These policies and procedures will include the imposition of a complete separation between the personnel responsible for the operation of EOL and those responsible for Enron’s proprietary trading activities.  In addition, the different business units will have separate systems, facilities and back offices and Enron will monitor its own trading activities on EOL for compliance with the restrictions imposed through the policies and procedures.  Enron also has in place, and will expand and enforce, strict procedures to protect the confidentiality of all information received on EOL regarding the trading activities of other participants.]</w:t>
      </w:r>
    </w:p>
    <w:p>
      <w:pPr>
        <w:pStyle w:val="BodyTextIndent"/>
        <w:rPr/>
      </w:pPr>
      <w:r>
        <w:rPr/>
        <w:t>Each participant will continue to be  required  to enter into transactions through EOL only as principal and not as an intermediary on behalf of third parties.  [Participants may wish to designate brokers that will be authorized to access EOL on behalf of the participants, in order to  monitor the market and, in some cases, to enter orders.  Any brokers that are authorized for this purpose, however, will not be able to enter into transactions through EOL on their own behalf.  Brokers will enter orders as if they were the participants on whose behalf they act.  As a result, the credit filters in place will reflect the credit of the participant, and the identity revealed to a counterparty following a match will be that of the participant.]  Each participant will be permitted to post on EOL bids and offers for transactions relating to the products available for trading through EOL.  If another participant that has been approved by the posting participant as a counterparty enters an opposite bid or offer, a transaction will be executed, assuming that the second participant’s order is at the specified price and for the specified quantity (or less) and is received by the EOL server prior to its receipt of orders for the same transaction from another participant.  If a participant has not been approved as a counterparty by the posting participant, it will not be able to execute a transaction against the posted bid or offer, although it will be able to see the price and quantity posted.  Each participant posting bids or offers, therefore, will in effect be making its active quotations available only to those other participants that it has approved as counterparties.  All bids or offers will be capable of being withdrawn from the market at any time before a match is completed, provided that the withdrawal instruction is received on the EOL server prior to any execution of transaction.</w:t>
      </w:r>
    </w:p>
    <w:p>
      <w:pPr>
        <w:pStyle w:val="BodyTextIndent"/>
        <w:rPr/>
      </w:pPr>
      <w:r>
        <w:rPr/>
        <w:t>Participants will also be able to submit “requests for quotations”, or “RFQs”, in which a participant requests other participants to submit bids or offers for a transaction that the first participant wishes to enter into.  However, RFQs will also be subject to the credit and approval filters and a participant will only be able to respond to another participant’s RFQ if it has been approved as a counterparty by the first participant.  Examples of certain EOL screens relating to trading and position management are attached hereto as Attachment A.</w:t>
      </w:r>
    </w:p>
    <w:p>
      <w:pPr>
        <w:pStyle w:val="BodyTextIndent"/>
        <w:rPr/>
      </w:pPr>
      <w:r>
        <w:rPr/>
        <w:t>Each participant will be responsible for establishing its own bids and offers and for requiring its counterparty to pay any additional costs that may be agreed to on a bilateral basis.  [There will be no fees charged for access to or use of EOL.   EOL will charge commissions on each transaction executed through EOL and all participants, including Enron, will be responsible for payment of commissions in accordance with the same terms and schedules.  Participants will be billed on a monthly basis for commissions incurred on transactions executed in the preceding month.]</w:t>
      </w:r>
    </w:p>
    <w:p>
      <w:pPr>
        <w:pStyle w:val="BodyTextIndent"/>
        <w:rPr/>
      </w:pPr>
      <w:r>
        <w:rPr/>
        <w:t>EOL will release counterparty names to each of the parties to a transaction immediately following a match effected through EOL, and will automatically generate corresponding trade summaries.  EOL will also provide participants with transaction summaries [on a daily basis], reflecting all completed transactions and affording participants the ability to view their trading histories.  Any resulting transactions, as noted, will be entered into exclusively between the two parties to the transaction acting as principals.  For this reason, Enron will have no involvement in the documentation, completion or settlement of transactions executed through EOL, all of which will be the exclusive responsibility of the parties to the transactions.  The role of EOL will be limited to serving as a vehicle for executing transactions based on posted bids and offers; it will not be involved in any of the subsequent steps required to complete the transactions, including payment and delivery functions.</w:t>
      </w:r>
    </w:p>
    <w:p>
      <w:pPr>
        <w:pStyle w:val="BodyTextIndent"/>
        <w:rPr/>
      </w:pPr>
      <w:r>
        <w:rPr/>
        <w:t xml:space="preserve">Participants will be provided with disclosure of all material aspects of the operation of EOL and of the terms and conditions of trading.  Moreover, participants will be able to access, at any time, information regarding prices, bids and offers posted on EOL, along with other information regarding EOL and its operation.  EOL will record and maintain detailed records of all transactions effected through EOL and, with respect to these traded products that the Commission determines perform significant price discovery functions for transactions in the cash markets for the commodities, EOL will undertake to make available to the public information regarding price ranges and daily volumes as well as other relevant information. </w:t>
      </w:r>
    </w:p>
    <w:p>
      <w:pPr>
        <w:pStyle w:val="BodyTextIndent"/>
        <w:rPr/>
      </w:pPr>
      <w:r>
        <w:rPr/>
        <w:t xml:space="preserve">At this time EOL has not finalized the terms and conditions of trading under the proposed modifications to its current system.  The final terms and conditions, however, will conform to the representations set forth in this letter and, in the event that participants are found not to be in compliance with these terms and conditions, Enron will be authorized to take appropriate action, including suspensions of or limitations on access, or the complete termination of access, to EOL.  In addition, senior executives of Enron involved in the operation of EOL will satisfy specified fitness criteria, including the requirement that they not be subject to any statutory disqualifications under the Act.  Enron will, upon request, disclose to the Commission the terms and conditions of trading and fitness criteria compliance and will provide the Commission or its representatives with information, or with access to EOL’s books and records, to enable the Commission as it determines necessary to satisfy its obligations under the Act.    </w:t>
      </w:r>
    </w:p>
    <w:p>
      <w:pPr>
        <w:pStyle w:val="BodyTextIndent"/>
        <w:rPr/>
      </w:pPr>
      <w:r>
        <w:rPr/>
        <w:t>On this basis, we respectfully request your written confirmation that the Divisions will not recommend that the Commission take any enforcement action in connection with the modification of the operations of EOL, as described above, any transactions effected through EOL as so modified or any participants in these transactions.  We note that our request for no-action relief is consistent with the relief previously granted by the Divisions in Commission Staff No-Action Letter No. 00-80, dated June 30, 2000, and Commission Staff No-Action Letter 00-64, dated May 8, 2000.  In each of those instances, as here, the requesting party proposed to establish and operate a password-protected, electronic trading system for the trading of commodities and related derivatives, through which approved participants would post bids and offers and execute transactions.  Each of the systems at issue in those letters involved credit filters and trading and matching algorithms similar to those to be employed by EOL, including systems based on price and time priority.  In each of those instances, the Divisions granted the requested relief.  We therefore submit that our request should similarly be granted.  We recognize that the terms of this letter and the operation of EOL might need to be modified to reflect any applicable rules that the Commission may adopt in this area.  In addition, if at any time prior to the issuance of the relief sought herein, any material representation made in this request ceases to be true and complete, we will inform the Commission’s staff promptly in writing of all materially changed facts and circumstances.  If a material change in facts or circumstances occurs subsequent to the issuance of such relief, we will promptly inform the Commission’s staff.</w:t>
      </w:r>
    </w:p>
    <w:p>
      <w:pPr>
        <w:pStyle w:val="BodyTextIndent"/>
        <w:rPr/>
      </w:pPr>
      <w:r>
        <w:rPr/>
        <w:t>Attached hereto as Attachment B is a certification and undertaking made by a senior executive of [Enron] in compliance with Commission Rule 140.99(c)(3).</w:t>
      </w:r>
    </w:p>
    <w:p>
      <w:pPr>
        <w:pStyle w:val="BodyTextIndent"/>
        <w:rPr/>
      </w:pPr>
      <w:r>
        <w:rPr/>
        <w:t>Pursuant to 17 C.F.R. § 145.9, we request here, and by separate letter (a copy of which is enclosed), confidential treatment of this letter under the Freedom of Information Act, 5 U.S.C. § 552 (1994)  (“FOIA”).  Accordingly, we request that this letter be maintained in a non-public file and that access to it by third parties be denied, except as specifically permitted by law.</w:t>
      </w:r>
      <w:r>
        <w:br w:type="page"/>
      </w:r>
    </w:p>
    <w:p>
      <w:pPr>
        <w:pStyle w:val="BodyTextIndent"/>
        <w:rPr/>
      </w:pPr>
      <w:r>
        <w:rPr/>
      </w:r>
    </w:p>
    <w:p>
      <w:pPr>
        <w:pStyle w:val="BodyTextIndent"/>
        <w:rPr/>
      </w:pPr>
      <w:r>
        <w:rPr/>
        <w:t>Thank you for your consideration of this matter.  If you have any questions, please do not hesitate to call the undersigned at.</w:t>
      </w:r>
    </w:p>
    <w:p>
      <w:pPr>
        <w:pStyle w:val="Signoff"/>
        <w:spacing w:before="0" w:after="1200"/>
        <w:rPr/>
      </w:pPr>
      <w:r>
        <w:rPr/>
        <w:t>Sincerely,</w:t>
      </w:r>
    </w:p>
    <w:p>
      <w:pPr>
        <w:pStyle w:val="Normal"/>
        <w:rPr/>
      </w:pPr>
      <w:r>
        <w:rPr/>
        <w:t>cc:</w:t>
        <w:tab/>
        <w:t>Edward M.  Colbert, Esq.</w:t>
      </w:r>
    </w:p>
    <w:p>
      <w:pPr>
        <w:pStyle w:val="Normal"/>
        <w:ind w:firstLine="720" w:end="0"/>
        <w:rPr/>
      </w:pPr>
      <w:r>
        <w:rPr/>
        <w:t>Office of the Secretariat</w:t>
      </w:r>
    </w:p>
    <w:p>
      <w:pPr>
        <w:pStyle w:val="Normal"/>
        <w:ind w:firstLine="720" w:end="0"/>
        <w:rPr/>
      </w:pPr>
      <w:r>
        <w:rPr/>
        <w:t>Commodity Futures Trading Commission</w:t>
      </w:r>
      <w:r>
        <w:br w:type="page"/>
      </w:r>
    </w:p>
    <w:p>
      <w:pPr>
        <w:pStyle w:val="BodyTextright"/>
        <w:rPr/>
      </w:pPr>
      <w:r>
        <w:rPr/>
        <w:t>Attachment A</w:t>
      </w:r>
    </w:p>
    <w:p>
      <w:pPr>
        <w:pStyle w:val="BodyTextctr"/>
        <w:rPr/>
      </w:pPr>
      <w:r>
        <w:rPr/>
        <w:t>EOL SCREENS</w:t>
      </w:r>
    </w:p>
    <w:p>
      <w:pPr>
        <w:sectPr>
          <w:footnotePr>
            <w:numFmt w:val="decimal"/>
          </w:footnotePr>
          <w:type w:val="continuous"/>
          <w:pgSz w:w="12240" w:h="15840"/>
          <w:pgMar w:left="2160" w:right="1440" w:gutter="0" w:header="720" w:top="1915" w:footer="720" w:bottom="965"/>
          <w:formProt w:val="false"/>
          <w:titlePg/>
          <w:textDirection w:val="lrTb"/>
          <w:docGrid w:type="default" w:linePitch="360" w:charSpace="0"/>
        </w:sectPr>
      </w:pPr>
    </w:p>
    <w:p>
      <w:pPr>
        <w:pStyle w:val="CenterTitle"/>
        <w:numPr>
          <w:ilvl w:val="0"/>
          <w:numId w:val="0"/>
        </w:numPr>
        <w:outlineLvl w:val="0"/>
        <w:rPr/>
      </w:pPr>
      <w:r>
        <w:rPr/>
        <w:t>CERTIFICATE AND UNDERTAKING</w:t>
      </w:r>
    </w:p>
    <w:p>
      <w:pPr>
        <w:pStyle w:val="Dateline"/>
        <w:numPr>
          <w:ilvl w:val="0"/>
          <w:numId w:val="0"/>
        </w:numPr>
        <w:ind w:hanging="0" w:start="5040"/>
        <w:outlineLvl w:val="0"/>
        <w:rPr/>
      </w:pPr>
      <w:r>
        <w:rPr/>
        <w:t>August __, 2000</w:t>
      </w:r>
    </w:p>
    <w:p>
      <w:pPr>
        <w:pStyle w:val="BodyText"/>
        <w:rPr/>
      </w:pPr>
      <w:r>
        <w:rPr/>
        <w:t>Division of Trading and Markets</w:t>
        <w:br/>
        <w:t>Division of Economic Analysis</w:t>
        <w:br/>
        <w:t>Commodity Futures Trading Commission</w:t>
        <w:br/>
        <w:t>Three Lafayette Centre</w:t>
        <w:br/>
        <w:t>1155 21st Street, NW</w:t>
        <w:br/>
        <w:t>Washington, DC 20581</w:t>
      </w:r>
    </w:p>
    <w:p>
      <w:pPr>
        <w:pStyle w:val="BodyText"/>
        <w:rPr/>
      </w:pPr>
      <w:r>
        <w:rPr/>
        <w:t>Ladies and Gentlemen:</w:t>
      </w:r>
    </w:p>
    <w:p>
      <w:pPr>
        <w:pStyle w:val="BodyTextIndent"/>
        <w:rPr/>
      </w:pPr>
      <w:r>
        <w:rPr/>
        <w:t>I hereby personally certify that the material facts set forth in the letter dated August __, 2000 (the “Request”), requesting the issuance of a no-action letter (the “Letter”) to Enron Corp., to which this Certificate and Undertaking is attached, are true and complete to the best of my knowledge.</w:t>
      </w:r>
    </w:p>
    <w:p>
      <w:pPr>
        <w:pStyle w:val="BodyTextIndent"/>
        <w:rPr/>
      </w:pPr>
      <w:r>
        <w:rPr/>
        <w:t>If any material representation contained in the Request ceases to be true and complete before a Letter is issued, Enron shall promptly inform you in writing of all materially changed facts and circumstances.</w:t>
      </w:r>
    </w:p>
    <w:p>
      <w:pPr>
        <w:pStyle w:val="BodyTextIndent"/>
        <w:rPr/>
      </w:pPr>
      <w:r>
        <w:rPr/>
        <w:t>If any material change in facts or circumstances occurs subsequent to the issuance of a Letter, Enron shall promptly so inform you.</w:t>
      </w:r>
    </w:p>
    <w:p>
      <w:pPr>
        <w:pStyle w:val="SignatureLine"/>
        <w:rPr/>
      </w:pPr>
      <w:r>
        <w:rPr/>
        <w:t>________________________</w:t>
      </w:r>
    </w:p>
    <w:p>
      <w:pPr>
        <w:pStyle w:val="SignatureLine"/>
        <w:rPr/>
      </w:pPr>
      <w:r>
        <w:rPr/>
        <w:t>Name:</w:t>
      </w:r>
    </w:p>
    <w:p>
      <w:pPr>
        <w:pStyle w:val="SignatureLine"/>
        <w:rPr/>
      </w:pPr>
      <w:r>
        <w:rPr/>
        <w:t>Title:</w:t>
      </w:r>
    </w:p>
    <w:p>
      <w:pPr>
        <w:pStyle w:val="SignatureLine"/>
        <w:rPr/>
      </w:pPr>
      <w:r>
        <w:rPr/>
        <w:t>Enron Corp.</w:t>
      </w:r>
    </w:p>
    <w:sectPr>
      <w:headerReference w:type="default" r:id="rId6"/>
      <w:headerReference w:type="first" r:id="rId7"/>
      <w:footerReference w:type="default" r:id="rId8"/>
      <w:footerReference w:type="first" r:id="rId9"/>
      <w:footnotePr>
        <w:numFmt w:val="decimal"/>
      </w:footnotePr>
      <w:type w:val="nextPage"/>
      <w:pgSz w:w="12240" w:h="15840"/>
      <w:pgMar w:left="2160" w:right="1440" w:gutter="0" w:header="720" w:top="1915" w:footer="720" w:bottom="965"/>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w:altName w:val="Courier New"/>
    <w:charset w:val="00" w:characterSet="windows-1252"/>
    <w:family w:val="modern"/>
    <w:pitch w:val="default"/>
  </w:font>
  <w:font w:name="Tahoma">
    <w:charset w:val="00" w:characterSet="windows-1252"/>
    <w:family w:val="swiss"/>
    <w:pitch w:val="variable"/>
  </w:font>
  <w:font w:name="Courier New">
    <w:charset w:val="00" w:characterSet="windows-1252"/>
    <w:family w:val="modern"/>
    <w:pitch w:val="default"/>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pPr>
    <w:r>
      <w:rPr>
        <w:sz w:val="16"/>
      </w:rPr>
      <w:t>NY12532:283135.1</w:t>
      <w:tab/>
      <w:t>-</w:t>
    </w:r>
    <w:r>
      <w:rPr>
        <w:rStyle w:val="PageNumber"/>
      </w:rPr>
      <w:fldChar w:fldCharType="begin"/>
    </w:r>
    <w:r>
      <w:rPr>
        <w:rStyle w:val="PageNumber"/>
      </w:rPr>
      <w:instrText xml:space="preserve"> PAGE </w:instrText>
    </w:r>
    <w:r>
      <w:rPr>
        <w:rStyle w:val="PageNumber"/>
      </w:rPr>
      <w:fldChar w:fldCharType="separate"/>
    </w:r>
    <w:r>
      <w:rPr>
        <w:rStyle w:val="PageNumber"/>
      </w:rPr>
      <w:t>8</w:t>
    </w:r>
    <w:r>
      <w:rPr>
        <w:rStyle w:val="PageNumber"/>
      </w:rPr>
      <w:fldChar w:fldCharType="end"/>
    </w:r>
    <w:r>
      <w:rPr>
        <w:sz w:val="16"/>
      </w:rPr>
      <w:t>-</w:t>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6"/>
      </w:rPr>
    </w:pPr>
    <w:r>
      <w:rPr>
        <w:sz w:val="16"/>
      </w:rPr>
    </w:r>
  </w:p>
  <w:p>
    <w:pPr>
      <w:pStyle w:val="Footer"/>
      <w:rPr>
        <w:sz w:val="16"/>
      </w:rPr>
    </w:pPr>
    <w:r>
      <w:rPr>
        <w:sz w:val="16"/>
      </w:rPr>
      <w:t>NY12532:283135.1</w:t>
    </w:r>
  </w:p>
</w:ftr>
</file>

<file path=word/footer3.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er4.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pPr>
    <w:r>
      <w:rPr/>
    </w:r>
  </w:p>
</w:ftr>
</file>

<file path=word/footnotes.xml><?xml version="1.0" encoding="utf-8"?>
<w:footnotes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footnote w:id="0" w:type="separator">
    <w:p>
      <w:r>
        <w:separator/>
      </w:r>
    </w:p>
  </w:footnote>
  <w:footnote w:id="1" w:type="continuationSeparator">
    <w:p>
      <w:r>
        <w:continuationSeparator/>
      </w:r>
    </w:p>
  </w:footnote>
  <w:footnote w:id="2">
    <w:p>
      <w:pPr>
        <w:pStyle w:val="FootnoteText"/>
        <w:spacing w:before="240" w:after="0"/>
        <w:ind w:hanging="270" w:start="270" w:end="0"/>
        <w:rPr/>
      </w:pPr>
      <w:r>
        <w:rPr>
          <w:rStyle w:val="FootnoteCharacters"/>
        </w:rPr>
        <w:t>*</w:t>
      </w:r>
      <w:r>
        <w:rPr/>
        <w:tab/>
        <w:t>In seeking this relief, we understand that the Commission will not address whether, and we do not concede that, the transactions effected through EOL, as modified, will constitute futures contracts or that EOL itself, as modified, will constitute a “multilateral transaction execution facility” (“MTEF”) for purposes of Part 35 of the Commission’s rules or will in any way be subject to the jurisdiction of the Act or Commission regulations.</w:t>
      </w:r>
    </w:p>
  </w:footnote>
  <w:footnote w:id="3">
    <w:p>
      <w:pPr>
        <w:pStyle w:val="FootnoteText"/>
        <w:spacing w:before="240" w:after="0"/>
        <w:ind w:hanging="270" w:start="270" w:end="0"/>
        <w:rPr/>
      </w:pPr>
      <w:r>
        <w:rPr>
          <w:rStyle w:val="FootnoteCharacters"/>
        </w:rPr>
        <w:t>*</w:t>
      </w:r>
      <w:r>
        <w:rPr/>
        <w:tab/>
        <w:t>An introductory screen on EOL is available to the general public without the use of a password.  However this portion of EOL contains general background content only and does not provide access to trading screens or transactional or price information.</w:t>
      </w:r>
    </w:p>
  </w:footnote>
  <w:footnote w:id="4">
    <w:p>
      <w:pPr>
        <w:pStyle w:val="FootnoteText"/>
        <w:spacing w:before="240" w:after="0"/>
        <w:ind w:hanging="270" w:start="270" w:end="0"/>
        <w:rPr/>
      </w:pPr>
      <w:r>
        <w:rPr>
          <w:rStyle w:val="FootnoteCharacters"/>
        </w:rPr>
        <w:t>*</w:t>
      </w:r>
      <w:r>
        <w:rPr/>
        <w:tab/>
        <w:t>Agreements relating to spot, forward and trade option contracts traded through EOL are outside the scope of the Act, or are excluded or exempt from the Act, and are not included within the scope of this letter.</w:t>
      </w:r>
    </w:p>
  </w:footnote>
  <w:footnote w:id="5">
    <w:p>
      <w:pPr>
        <w:pStyle w:val="FootnoteText"/>
        <w:spacing w:before="240" w:after="0"/>
        <w:ind w:hanging="270" w:start="270" w:end="0"/>
        <w:rPr/>
      </w:pPr>
      <w:r>
        <w:rPr>
          <w:rStyle w:val="FootnoteCharacters"/>
        </w:rPr>
        <w:t>*</w:t>
      </w:r>
      <w:r>
        <w:rPr>
          <w:rStyle w:val="FootnoteCharacters"/>
        </w:rPr>
        <w:t>*</w:t>
      </w:r>
      <w:r>
        <w:rPr/>
        <w:tab/>
        <w:t>In addition, the definition of approved participants will exclude (i) private investment companies operating pursuant to Sections 3(c)(1) or 3(c)(7) of the Investment Company Act of 1940, (ii) private investment companies organized under the laws of a non-U.S. jurisdiction, and (iii) natural persons.</w:t>
      </w:r>
    </w:p>
  </w:footnote>
</w:footnote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jc w:val="end"/>
      <w:rPr/>
    </w:pPr>
    <w:r>
      <w:rPr/>
      <w:t>S&amp;C Draft of August 7, 2000</w: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spacing w:before="0" w:after="480"/>
      <w:jc w:val="end"/>
      <w:rPr>
        <w:u w:val="single"/>
      </w:rPr>
    </w:pPr>
    <w:r>
      <w:rPr>
        <w:u w:val="single"/>
      </w:rPr>
      <w:t>Attachment B</w:t>
    </w:r>
  </w:p>
  <w:p>
    <w:pPr>
      <w:pStyle w:val="Header"/>
      <w:jc w:val="end"/>
      <w:rPr>
        <w:u w:val="single"/>
      </w:rPr>
    </w:pPr>
    <w:r>
      <w:rPr>
        <w:u w:val="single"/>
      </w:rPr>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pStyle w:val="Heading9"/>
      <w:numFmt w:val="none"/>
      <w:suff w:val="nothing"/>
      <w:lvlText w:val=""/>
      <w:lvlJc w:val="start"/>
      <w:pPr>
        <w:tabs>
          <w:tab w:val="num" w:pos="0"/>
        </w:tabs>
        <w:ind w:start="0" w:hanging="0"/>
      </w:pPr>
    </w:lvl>
  </w:abstractNum>
  <w:abstractNum w:abstractNumId="2">
    <w:lvl w:ilvl="0">
      <w:start w:val="1"/>
      <w:numFmt w:val="decimal"/>
      <w:lvlText w:val="%1."/>
      <w:lvlJc w:val="start"/>
      <w:pPr>
        <w:tabs>
          <w:tab w:val="num" w:pos="1800"/>
        </w:tabs>
        <w:ind w:start="1800" w:hanging="360"/>
      </w:pPr>
    </w:lvl>
  </w:abstractNum>
  <w:abstractNum w:abstractNumId="3">
    <w:lvl w:ilvl="0">
      <w:start w:val="1"/>
      <w:numFmt w:val="decimal"/>
      <w:lvlText w:val="%1."/>
      <w:lvlJc w:val="start"/>
      <w:pPr>
        <w:tabs>
          <w:tab w:val="num" w:pos="1440"/>
        </w:tabs>
        <w:ind w:start="1440" w:hanging="360"/>
      </w:pPr>
    </w:lvl>
  </w:abstractNum>
  <w:abstractNum w:abstractNumId="4">
    <w:lvl w:ilvl="0">
      <w:start w:val="1"/>
      <w:numFmt w:val="decimal"/>
      <w:lvlText w:val="%1."/>
      <w:lvlJc w:val="start"/>
      <w:pPr>
        <w:tabs>
          <w:tab w:val="num" w:pos="1080"/>
        </w:tabs>
        <w:ind w:start="1080" w:hanging="360"/>
      </w:pPr>
    </w:lvl>
  </w:abstractNum>
  <w:abstractNum w:abstractNumId="5">
    <w:lvl w:ilvl="0">
      <w:start w:val="1"/>
      <w:numFmt w:val="decimal"/>
      <w:lvlText w:val="%1."/>
      <w:lvlJc w:val="start"/>
      <w:pPr>
        <w:tabs>
          <w:tab w:val="num" w:pos="720"/>
        </w:tabs>
        <w:ind w:start="720" w:hanging="360"/>
      </w:pPr>
    </w:lvl>
  </w:abstractNum>
  <w:abstractNum w:abstractNumId="6">
    <w:lvl w:ilvl="0">
      <w:start w:val="1"/>
      <w:numFmt w:val="bullet"/>
      <w:lvlText w:val=""/>
      <w:lvlJc w:val="start"/>
      <w:pPr>
        <w:tabs>
          <w:tab w:val="num" w:pos="1800"/>
        </w:tabs>
        <w:ind w:start="1800" w:hanging="360"/>
      </w:pPr>
      <w:rPr>
        <w:rFonts w:ascii="Symbol" w:hAnsi="Symbol" w:cs="Symbol" w:hint="default"/>
      </w:rPr>
    </w:lvl>
  </w:abstractNum>
  <w:abstractNum w:abstractNumId="7">
    <w:lvl w:ilvl="0">
      <w:start w:val="1"/>
      <w:numFmt w:val="bullet"/>
      <w:lvlText w:val=""/>
      <w:lvlJc w:val="start"/>
      <w:pPr>
        <w:tabs>
          <w:tab w:val="num" w:pos="1440"/>
        </w:tabs>
        <w:ind w:start="1440" w:hanging="360"/>
      </w:pPr>
      <w:rPr>
        <w:rFonts w:ascii="Symbol" w:hAnsi="Symbol" w:cs="Symbol" w:hint="default"/>
      </w:rPr>
    </w:lvl>
  </w:abstractNum>
  <w:abstractNum w:abstractNumId="8">
    <w:lvl w:ilvl="0">
      <w:start w:val="1"/>
      <w:numFmt w:val="bullet"/>
      <w:lvlText w:val=""/>
      <w:lvlJc w:val="start"/>
      <w:pPr>
        <w:tabs>
          <w:tab w:val="num" w:pos="1080"/>
        </w:tabs>
        <w:ind w:start="1080" w:hanging="360"/>
      </w:pPr>
      <w:rPr>
        <w:rFonts w:ascii="Symbol" w:hAnsi="Symbol" w:cs="Symbol" w:hint="default"/>
      </w:rPr>
    </w:lvl>
  </w:abstractNum>
  <w:abstractNum w:abstractNumId="9">
    <w:lvl w:ilvl="0">
      <w:start w:val="1"/>
      <w:numFmt w:val="bullet"/>
      <w:lvlText w:val=""/>
      <w:lvlJc w:val="start"/>
      <w:pPr>
        <w:tabs>
          <w:tab w:val="num" w:pos="720"/>
        </w:tabs>
        <w:ind w:start="720" w:hanging="360"/>
      </w:pPr>
      <w:rPr>
        <w:rFonts w:ascii="Symbol" w:hAnsi="Symbol" w:cs="Symbol" w:hint="default"/>
      </w:rPr>
    </w:lvl>
  </w:abstractNum>
  <w:abstractNum w:abstractNumId="10">
    <w:lvl w:ilvl="0">
      <w:start w:val="1"/>
      <w:numFmt w:val="decimal"/>
      <w:lvlText w:val="%1."/>
      <w:lvlJc w:val="start"/>
      <w:pPr>
        <w:tabs>
          <w:tab w:val="num" w:pos="360"/>
        </w:tabs>
        <w:ind w:start="360" w:hanging="360"/>
      </w:pPr>
    </w:lvl>
  </w:abstractNum>
  <w:abstractNum w:abstractNumId="11">
    <w:lvl w:ilvl="0">
      <w:start w:val="1"/>
      <w:numFmt w:val="bullet"/>
      <w:lvlText w:val=""/>
      <w:lvlJc w:val="start"/>
      <w:pPr>
        <w:tabs>
          <w:tab w:val="num" w:pos="360"/>
        </w:tabs>
        <w:ind w:start="36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w="http://schemas.openxmlformats.org/wordprocessingml/2006/main">
  <w:zoom w:percent="100"/>
  <w:defaultTabStop w:val="720"/>
  <w:autoHyphenation w:val="true"/>
  <w:hyphenationZone w:val="0"/>
  <w:footnotePr>
    <w:numFmt w:val="decimal"/>
    <w:footnote w:id="0"/>
    <w:footnote w:id="1"/>
  </w:footnotePr>
  <w:compat>
    <w:doNotExpandShiftReturn/>
    <w:compatSetting w:name="compatibilityMode" w:uri="http://schemas.microsoft.com/office/word" w:val="11"/>
  </w:compat>
  <w:docVars>
    <w:docVar w:name="DocXToolsFileType" w:val="Word97"/>
  </w:docVars>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Times New Roman" w:hAnsi="Times New Roman" w:eastAsia="Times New Roman" w:cs="Times New Roman"/>
      <w:color w:val="auto"/>
      <w:sz w:val="24"/>
      <w:szCs w:val="20"/>
      <w:lang w:val="en-US" w:eastAsia="zh-CN" w:bidi="hi-IN"/>
    </w:rPr>
  </w:style>
  <w:style w:type="paragraph" w:styleId="Heading1">
    <w:name w:val="heading 1"/>
    <w:basedOn w:val="Normal"/>
    <w:next w:val="Normal"/>
    <w:qFormat/>
    <w:pPr>
      <w:keepNext w:val="true"/>
      <w:numPr>
        <w:ilvl w:val="0"/>
        <w:numId w:val="1"/>
      </w:numPr>
      <w:spacing w:before="240" w:after="60"/>
      <w:outlineLvl w:val="0"/>
    </w:pPr>
    <w:rPr>
      <w:rFonts w:ascii="Courier" w:hAnsi="Courier" w:cs="Courier"/>
      <w:b/>
      <w:kern w:val="2"/>
      <w:sz w:val="28"/>
    </w:rPr>
  </w:style>
  <w:style w:type="paragraph" w:styleId="Heading2">
    <w:name w:val="heading 2"/>
    <w:basedOn w:val="Normal"/>
    <w:next w:val="Normal"/>
    <w:qFormat/>
    <w:pPr>
      <w:keepNext w:val="true"/>
      <w:numPr>
        <w:ilvl w:val="1"/>
        <w:numId w:val="1"/>
      </w:numPr>
      <w:spacing w:before="240" w:after="60"/>
      <w:outlineLvl w:val="1"/>
    </w:pPr>
    <w:rPr>
      <w:b/>
      <w:i/>
    </w:rPr>
  </w:style>
  <w:style w:type="paragraph" w:styleId="Heading3">
    <w:name w:val="heading 3"/>
    <w:basedOn w:val="Normal"/>
    <w:next w:val="Normal"/>
    <w:qFormat/>
    <w:pPr>
      <w:keepNext w:val="true"/>
      <w:numPr>
        <w:ilvl w:val="2"/>
        <w:numId w:val="1"/>
      </w:numPr>
      <w:spacing w:before="240" w:after="60"/>
      <w:outlineLvl w:val="2"/>
    </w:pPr>
    <w:rPr>
      <w:b/>
    </w:rPr>
  </w:style>
  <w:style w:type="paragraph" w:styleId="Heading4">
    <w:name w:val="heading 4"/>
    <w:basedOn w:val="Normal"/>
    <w:next w:val="Normal"/>
    <w:qFormat/>
    <w:pPr>
      <w:keepNext w:val="true"/>
      <w:numPr>
        <w:ilvl w:val="3"/>
        <w:numId w:val="1"/>
      </w:numPr>
      <w:spacing w:before="240" w:after="60"/>
      <w:outlineLvl w:val="3"/>
    </w:pPr>
    <w:rPr>
      <w:u w:val="single"/>
    </w:rPr>
  </w:style>
  <w:style w:type="paragraph" w:styleId="Heading5">
    <w:name w:val="heading 5"/>
    <w:basedOn w:val="Normal"/>
    <w:next w:val="Normal"/>
    <w:qFormat/>
    <w:pPr>
      <w:numPr>
        <w:ilvl w:val="4"/>
        <w:numId w:val="1"/>
      </w:numPr>
      <w:spacing w:before="240" w:after="60"/>
      <w:outlineLvl w:val="4"/>
    </w:pPr>
    <w:rPr>
      <w:sz w:val="22"/>
    </w:rPr>
  </w:style>
  <w:style w:type="paragraph" w:styleId="Heading6">
    <w:name w:val="heading 6"/>
    <w:basedOn w:val="Normal"/>
    <w:next w:val="Normal"/>
    <w:qFormat/>
    <w:pPr>
      <w:numPr>
        <w:ilvl w:val="5"/>
        <w:numId w:val="1"/>
      </w:numPr>
      <w:spacing w:before="240" w:after="60"/>
      <w:outlineLvl w:val="5"/>
    </w:pPr>
    <w:rPr>
      <w:rFonts w:ascii="Times New Roman" w:hAnsi="Times New Roman" w:cs="Times New Roman"/>
      <w:i/>
      <w:sz w:val="22"/>
    </w:rPr>
  </w:style>
  <w:style w:type="paragraph" w:styleId="Heading7">
    <w:name w:val="heading 7"/>
    <w:basedOn w:val="Normal"/>
    <w:next w:val="Normal"/>
    <w:qFormat/>
    <w:pPr>
      <w:numPr>
        <w:ilvl w:val="6"/>
        <w:numId w:val="1"/>
      </w:numPr>
      <w:spacing w:before="240" w:after="60"/>
      <w:outlineLvl w:val="6"/>
    </w:pPr>
    <w:rPr>
      <w:rFonts w:ascii="Arial" w:hAnsi="Arial" w:cs="Arial"/>
      <w:sz w:val="20"/>
    </w:rPr>
  </w:style>
  <w:style w:type="paragraph" w:styleId="Heading8">
    <w:name w:val="heading 8"/>
    <w:basedOn w:val="Normal"/>
    <w:next w:val="Normal"/>
    <w:qFormat/>
    <w:pPr>
      <w:numPr>
        <w:ilvl w:val="7"/>
        <w:numId w:val="1"/>
      </w:numPr>
      <w:spacing w:before="240" w:after="60"/>
      <w:outlineLvl w:val="7"/>
    </w:pPr>
    <w:rPr>
      <w:rFonts w:ascii="Arial" w:hAnsi="Arial" w:cs="Arial"/>
      <w:i/>
      <w:sz w:val="20"/>
    </w:rPr>
  </w:style>
  <w:style w:type="paragraph" w:styleId="Heading9">
    <w:name w:val="heading 9"/>
    <w:basedOn w:val="Normal"/>
    <w:next w:val="Normal"/>
    <w:qFormat/>
    <w:pPr>
      <w:numPr>
        <w:ilvl w:val="8"/>
        <w:numId w:val="1"/>
      </w:numPr>
      <w:spacing w:before="240" w:after="60"/>
      <w:outlineLvl w:val="8"/>
    </w:pPr>
    <w:rPr>
      <w:rFonts w:ascii="Arial" w:hAnsi="Arial" w:cs="Arial"/>
      <w:b/>
      <w:i/>
      <w:sz w:val="18"/>
    </w:rPr>
  </w:style>
  <w:style w:type="character" w:styleId="WW8Num5z0">
    <w:name w:val="WW8Num5z0"/>
    <w:qFormat/>
    <w:rPr>
      <w:rFonts w:ascii="Symbol" w:hAnsi="Symbol" w:cs="Symbol"/>
    </w:rPr>
  </w:style>
  <w:style w:type="character" w:styleId="WW8Num6z0">
    <w:name w:val="WW8Num6z0"/>
    <w:qFormat/>
    <w:rPr>
      <w:rFonts w:ascii="Symbol" w:hAnsi="Symbol" w:cs="Symbol"/>
    </w:rPr>
  </w:style>
  <w:style w:type="character" w:styleId="WW8Num7z0">
    <w:name w:val="WW8Num7z0"/>
    <w:qFormat/>
    <w:rPr>
      <w:rFonts w:ascii="Symbol" w:hAnsi="Symbol" w:cs="Symbol"/>
    </w:rPr>
  </w:style>
  <w:style w:type="character" w:styleId="WW8Num8z0">
    <w:name w:val="WW8Num8z0"/>
    <w:qFormat/>
    <w:rPr>
      <w:rFonts w:ascii="Symbol" w:hAnsi="Symbol" w:cs="Symbol"/>
    </w:rPr>
  </w:style>
  <w:style w:type="character" w:styleId="WW8Num10z0">
    <w:name w:val="WW8Num10z0"/>
    <w:qFormat/>
    <w:rPr>
      <w:rFonts w:ascii="Symbol" w:hAnsi="Symbol" w:cs="Symbol"/>
    </w:rPr>
  </w:style>
  <w:style w:type="character" w:styleId="DefaultParagraphFont">
    <w:name w:val="Default Paragraph Font"/>
    <w:qFormat/>
    <w:rPr/>
  </w:style>
  <w:style w:type="character" w:styleId="FootnoteCharacters">
    <w:name w:val="Footnote Characters"/>
    <w:basedOn w:val="DefaultParagraphFont"/>
    <w:qFormat/>
    <w:rPr>
      <w:vertAlign w:val="superscript"/>
    </w:rPr>
  </w:style>
  <w:style w:type="character" w:styleId="ParaNum">
    <w:name w:val="ParaNum"/>
    <w:basedOn w:val="DefaultParagraphFont"/>
    <w:qFormat/>
    <w:rPr>
      <w:b w:val="false"/>
      <w:i w:val="false"/>
      <w:vanish w:val="false"/>
      <w:u w:val="none"/>
    </w:rPr>
  </w:style>
  <w:style w:type="character" w:styleId="CommentReference">
    <w:name w:val="Comment Reference"/>
    <w:basedOn w:val="DefaultParagraphFont"/>
    <w:qFormat/>
    <w:rPr>
      <w:sz w:val="16"/>
    </w:rPr>
  </w:style>
  <w:style w:type="character" w:styleId="Emphasis">
    <w:name w:val="Emphasis"/>
    <w:basedOn w:val="DefaultParagraphFont"/>
    <w:qFormat/>
    <w:rPr>
      <w:i/>
    </w:rPr>
  </w:style>
  <w:style w:type="character" w:styleId="EndnoteCharacters">
    <w:name w:val="Endnote Characters"/>
    <w:basedOn w:val="DefaultParagraphFont"/>
    <w:qFormat/>
    <w:rPr>
      <w:vertAlign w:val="superscript"/>
    </w:rPr>
  </w:style>
  <w:style w:type="character" w:styleId="FollowedHyperlink">
    <w:name w:val="FollowedHyperlink"/>
    <w:basedOn w:val="DefaultParagraphFont"/>
    <w:rPr>
      <w:color w:val="800080"/>
      <w:u w:val="single"/>
    </w:rPr>
  </w:style>
  <w:style w:type="character" w:styleId="Hyperlink">
    <w:name w:val="Hyperlink"/>
    <w:basedOn w:val="DefaultParagraphFont"/>
    <w:rPr>
      <w:color w:val="0000FF"/>
      <w:u w:val="single"/>
    </w:rPr>
  </w:style>
  <w:style w:type="character" w:styleId="LineNumber">
    <w:name w:val="line number"/>
    <w:basedOn w:val="DefaultParagraphFont"/>
    <w:rPr/>
  </w:style>
  <w:style w:type="character" w:styleId="PageNumber">
    <w:name w:val="page number"/>
    <w:basedOn w:val="DefaultParagraphFont"/>
    <w:rPr/>
  </w:style>
  <w:style w:type="character" w:styleId="Strong">
    <w:name w:val="Strong"/>
    <w:basedOn w:val="DefaultParagraphFont"/>
    <w:qFormat/>
    <w:rPr>
      <w:b/>
    </w:rPr>
  </w:style>
  <w:style w:type="character" w:styleId="FootnoteReference">
    <w:name w:val="footnote reference"/>
    <w:rPr>
      <w:vertAlign w:val="superscript"/>
    </w:rPr>
  </w:style>
  <w:style w:type="character" w:styleId="EndnoteReference">
    <w:name w:val="endnote reference"/>
    <w:rPr>
      <w:vertAlign w:val="superscript"/>
    </w:rPr>
  </w:style>
  <w:style w:type="paragraph" w:styleId="Heading">
    <w:name w:val="Heading"/>
    <w:basedOn w:val="Normal"/>
    <w:next w:val="BodyText"/>
    <w:qFormat/>
    <w:pPr>
      <w:spacing w:before="240" w:after="60"/>
      <w:jc w:val="center"/>
      <w:outlineLvl w:val="0"/>
    </w:pPr>
    <w:rPr>
      <w:rFonts w:ascii="Arial" w:hAnsi="Arial" w:cs="Arial"/>
      <w:b/>
      <w:kern w:val="2"/>
      <w:sz w:val="32"/>
    </w:rPr>
  </w:style>
  <w:style w:type="paragraph" w:styleId="BodyText">
    <w:name w:val="Body Text"/>
    <w:basedOn w:val="Normal"/>
    <w:pPr>
      <w:spacing w:before="0" w:after="240"/>
    </w:pPr>
    <w:rPr/>
  </w:style>
  <w:style w:type="paragraph" w:styleId="List">
    <w:name w:val="List"/>
    <w:basedOn w:val="Normal"/>
    <w:pPr>
      <w:ind w:hanging="360" w:start="360" w:end="0"/>
    </w:pPr>
    <w:rPr/>
  </w:style>
  <w:style w:type="paragraph" w:styleId="Caption">
    <w:name w:val="caption"/>
    <w:basedOn w:val="Normal"/>
    <w:next w:val="Normal"/>
    <w:qFormat/>
    <w:pPr>
      <w:spacing w:before="120" w:after="120"/>
    </w:pPr>
    <w:rPr>
      <w:b/>
    </w:rPr>
  </w:style>
  <w:style w:type="paragraph" w:styleId="Index">
    <w:name w:val="Index"/>
    <w:basedOn w:val="Normal"/>
    <w:qFormat/>
    <w:pPr>
      <w:suppressLineNumbers/>
    </w:pPr>
    <w:rPr>
      <w:rFonts w:cs="NotoSans NF"/>
    </w:rPr>
  </w:style>
  <w:style w:type="paragraph" w:styleId="TOC1">
    <w:name w:val="toc 1"/>
    <w:basedOn w:val="Normal"/>
    <w:next w:val="Normal"/>
    <w:pPr>
      <w:spacing w:before="120" w:after="120"/>
    </w:pPr>
    <w:rPr>
      <w:rFonts w:ascii="Times New Roman" w:hAnsi="Times New Roman" w:cs="Times New Roman"/>
      <w:b/>
      <w:caps/>
      <w:sz w:val="20"/>
    </w:rPr>
  </w:style>
  <w:style w:type="paragraph" w:styleId="TOC2">
    <w:name w:val="toc 2"/>
    <w:basedOn w:val="Normal"/>
    <w:next w:val="Normal"/>
    <w:pPr>
      <w:ind w:hanging="0" w:start="240" w:end="0"/>
    </w:pPr>
    <w:rPr>
      <w:rFonts w:ascii="Times New Roman" w:hAnsi="Times New Roman" w:cs="Times New Roman"/>
      <w:smallCaps/>
      <w:sz w:val="20"/>
    </w:rPr>
  </w:style>
  <w:style w:type="paragraph" w:styleId="TOC3">
    <w:name w:val="toc 3"/>
    <w:basedOn w:val="Normal"/>
    <w:next w:val="Normal"/>
    <w:pPr>
      <w:ind w:hanging="0" w:start="480" w:end="0"/>
    </w:pPr>
    <w:rPr>
      <w:rFonts w:ascii="Times New Roman" w:hAnsi="Times New Roman" w:cs="Times New Roman"/>
      <w:i/>
      <w:sz w:val="20"/>
    </w:rPr>
  </w:style>
  <w:style w:type="paragraph" w:styleId="TOC4">
    <w:name w:val="toc 4"/>
    <w:basedOn w:val="Normal"/>
    <w:next w:val="Normal"/>
    <w:pPr>
      <w:ind w:hanging="0" w:start="720" w:end="0"/>
    </w:pPr>
    <w:rPr>
      <w:rFonts w:ascii="Times New Roman" w:hAnsi="Times New Roman" w:cs="Times New Roman"/>
      <w:sz w:val="18"/>
    </w:rPr>
  </w:style>
  <w:style w:type="paragraph" w:styleId="TOC5">
    <w:name w:val="toc 5"/>
    <w:basedOn w:val="Normal"/>
    <w:next w:val="Normal"/>
    <w:pPr>
      <w:ind w:hanging="0" w:start="960" w:end="0"/>
    </w:pPr>
    <w:rPr>
      <w:rFonts w:ascii="Times New Roman" w:hAnsi="Times New Roman" w:cs="Times New Roman"/>
      <w:sz w:val="18"/>
    </w:rPr>
  </w:style>
  <w:style w:type="paragraph" w:styleId="TOC6">
    <w:name w:val="toc 6"/>
    <w:basedOn w:val="Normal"/>
    <w:next w:val="Normal"/>
    <w:pPr>
      <w:ind w:hanging="0" w:start="1200" w:end="0"/>
    </w:pPr>
    <w:rPr>
      <w:rFonts w:ascii="Times New Roman" w:hAnsi="Times New Roman" w:cs="Times New Roman"/>
      <w:sz w:val="18"/>
    </w:rPr>
  </w:style>
  <w:style w:type="paragraph" w:styleId="TOC7">
    <w:name w:val="toc 7"/>
    <w:basedOn w:val="Normal"/>
    <w:next w:val="Normal"/>
    <w:pPr>
      <w:ind w:hanging="0" w:start="1440" w:end="0"/>
    </w:pPr>
    <w:rPr>
      <w:rFonts w:ascii="Times New Roman" w:hAnsi="Times New Roman" w:cs="Times New Roman"/>
      <w:sz w:val="18"/>
    </w:rPr>
  </w:style>
  <w:style w:type="paragraph" w:styleId="TOC8">
    <w:name w:val="toc 8"/>
    <w:basedOn w:val="Normal"/>
    <w:next w:val="Normal"/>
    <w:pPr>
      <w:ind w:hanging="0" w:start="1680" w:end="0"/>
    </w:pPr>
    <w:rPr>
      <w:rFonts w:ascii="Times New Roman" w:hAnsi="Times New Roman" w:cs="Times New Roman"/>
      <w:sz w:val="18"/>
    </w:rPr>
  </w:style>
  <w:style w:type="paragraph" w:styleId="TOC9">
    <w:name w:val="toc 9"/>
    <w:basedOn w:val="Normal"/>
    <w:next w:val="Normal"/>
    <w:pPr>
      <w:ind w:hanging="0" w:start="1920" w:end="0"/>
    </w:pPr>
    <w:rPr>
      <w:rFonts w:ascii="Times New Roman" w:hAnsi="Times New Roman" w:cs="Times New Roman"/>
      <w:sz w:val="18"/>
    </w:rPr>
  </w:style>
  <w:style w:type="paragraph" w:styleId="FootnoteText">
    <w:name w:val="footnote text"/>
    <w:basedOn w:val="Normal"/>
    <w:pPr>
      <w:spacing w:before="240" w:after="0"/>
      <w:ind w:hanging="270" w:start="270" w:end="0"/>
    </w:pPr>
    <w:rPr/>
  </w:style>
  <w:style w:type="paragraph" w:styleId="HeaderandFooter">
    <w:name w:val="Header and Footer"/>
    <w:basedOn w:val="Normal"/>
    <w:qFormat/>
    <w:pPr>
      <w:suppressLineNumbers/>
      <w:tabs>
        <w:tab w:val="clear" w:pos="720"/>
        <w:tab w:val="center" w:pos="4986" w:leader="none"/>
        <w:tab w:val="right" w:pos="9972" w:leader="none"/>
      </w:tabs>
    </w:pPr>
    <w:rPr/>
  </w:style>
  <w:style w:type="paragraph" w:styleId="Header">
    <w:name w:val="header"/>
    <w:basedOn w:val="Normal"/>
    <w:pPr>
      <w:tabs>
        <w:tab w:val="clear" w:pos="720"/>
        <w:tab w:val="center" w:pos="4320" w:leader="none"/>
        <w:tab w:val="right" w:pos="8640" w:leader="none"/>
      </w:tabs>
    </w:pPr>
    <w:rPr/>
  </w:style>
  <w:style w:type="paragraph" w:styleId="Footer">
    <w:name w:val="footer"/>
    <w:basedOn w:val="Normal"/>
    <w:pPr>
      <w:tabs>
        <w:tab w:val="clear" w:pos="720"/>
        <w:tab w:val="center" w:pos="4320" w:leader="none"/>
        <w:tab w:val="right" w:pos="8640" w:leader="none"/>
      </w:tabs>
    </w:pPr>
    <w:rPr/>
  </w:style>
  <w:style w:type="paragraph" w:styleId="EndnoteText">
    <w:name w:val="endnote text"/>
    <w:basedOn w:val="Normal"/>
    <w:pPr/>
    <w:rPr>
      <w:sz w:val="20"/>
    </w:rPr>
  </w:style>
  <w:style w:type="paragraph" w:styleId="BodyTextright">
    <w:name w:val="Body Text right"/>
    <w:basedOn w:val="BodyText"/>
    <w:qFormat/>
    <w:pPr>
      <w:jc w:val="end"/>
    </w:pPr>
    <w:rPr>
      <w:u w:val="single"/>
    </w:rPr>
  </w:style>
  <w:style w:type="paragraph" w:styleId="Dateline">
    <w:name w:val="Dateline"/>
    <w:basedOn w:val="Normal"/>
    <w:qFormat/>
    <w:pPr>
      <w:spacing w:before="1920" w:after="720"/>
      <w:ind w:hanging="0" w:start="5040" w:end="0"/>
    </w:pPr>
    <w:rPr/>
  </w:style>
  <w:style w:type="paragraph" w:styleId="Reline">
    <w:name w:val="Re: line"/>
    <w:basedOn w:val="Normal"/>
    <w:qFormat/>
    <w:pPr>
      <w:spacing w:before="0" w:after="240"/>
      <w:ind w:hanging="0" w:start="1440" w:end="0"/>
    </w:pPr>
    <w:rPr/>
  </w:style>
  <w:style w:type="paragraph" w:styleId="BodyTextIndent">
    <w:name w:val="Body Text Indent"/>
    <w:basedOn w:val="Normal"/>
    <w:pPr>
      <w:spacing w:before="0" w:after="240"/>
      <w:ind w:firstLine="1440" w:start="0" w:end="0"/>
    </w:pPr>
    <w:rPr/>
  </w:style>
  <w:style w:type="paragraph" w:styleId="SignatureLine">
    <w:name w:val="Signature Line"/>
    <w:basedOn w:val="Normal"/>
    <w:qFormat/>
    <w:pPr>
      <w:ind w:hanging="0" w:start="5040" w:end="0"/>
    </w:pPr>
    <w:rPr/>
  </w:style>
  <w:style w:type="paragraph" w:styleId="BodyTextIndent2">
    <w:name w:val="Body Text Indent 2"/>
    <w:basedOn w:val="Normal"/>
    <w:qFormat/>
    <w:pPr>
      <w:spacing w:lineRule="auto" w:line="480" w:before="0" w:after="120"/>
      <w:ind w:hanging="0" w:start="360" w:end="0"/>
    </w:pPr>
    <w:rPr/>
  </w:style>
  <w:style w:type="paragraph" w:styleId="BodyTextIndent3">
    <w:name w:val="Body Text Indent 3"/>
    <w:basedOn w:val="Normal"/>
    <w:qFormat/>
    <w:pPr>
      <w:spacing w:before="0" w:after="120"/>
      <w:ind w:hanging="0" w:start="360" w:end="0"/>
    </w:pPr>
    <w:rPr>
      <w:sz w:val="16"/>
    </w:rPr>
  </w:style>
  <w:style w:type="paragraph" w:styleId="Closing">
    <w:name w:val="Closing"/>
    <w:basedOn w:val="Normal"/>
    <w:qFormat/>
    <w:pPr>
      <w:ind w:hanging="0" w:start="4320" w:end="0"/>
    </w:pPr>
    <w:rPr/>
  </w:style>
  <w:style w:type="paragraph" w:styleId="CommentText">
    <w:name w:val="Comment Text"/>
    <w:basedOn w:val="Normal"/>
    <w:qFormat/>
    <w:pPr/>
    <w:rPr>
      <w:sz w:val="20"/>
    </w:rPr>
  </w:style>
  <w:style w:type="paragraph" w:styleId="Date">
    <w:name w:val="Date"/>
    <w:basedOn w:val="Normal"/>
    <w:next w:val="Normal"/>
    <w:qFormat/>
    <w:pPr/>
    <w:rPr/>
  </w:style>
  <w:style w:type="paragraph" w:styleId="DocumentMap">
    <w:name w:val="Document Map"/>
    <w:basedOn w:val="Normal"/>
    <w:qFormat/>
    <w:pPr>
      <w:shd w:fill="000080" w:val="clear"/>
    </w:pPr>
    <w:rPr>
      <w:rFonts w:ascii="Tahoma" w:hAnsi="Tahoma" w:cs="Tahoma"/>
    </w:rPr>
  </w:style>
  <w:style w:type="paragraph" w:styleId="EnvelopeAddress">
    <w:name w:val="envelope address"/>
    <w:basedOn w:val="Normal"/>
    <w:pPr>
      <w:ind w:hanging="0" w:start="2880" w:end="0"/>
    </w:pPr>
    <w:rPr>
      <w:rFonts w:ascii="Arial" w:hAnsi="Arial" w:cs="Arial"/>
    </w:rPr>
  </w:style>
  <w:style w:type="paragraph" w:styleId="EnvelopeReturn">
    <w:name w:val="envelope return"/>
    <w:basedOn w:val="Normal"/>
    <w:pPr/>
    <w:rPr>
      <w:rFonts w:ascii="Arial" w:hAnsi="Arial" w:cs="Arial"/>
      <w:sz w:val="20"/>
    </w:rPr>
  </w:style>
  <w:style w:type="paragraph" w:styleId="Index1">
    <w:name w:val="index 1"/>
    <w:basedOn w:val="Normal"/>
    <w:next w:val="Normal"/>
    <w:pPr>
      <w:ind w:hanging="240" w:start="240" w:end="0"/>
    </w:pPr>
    <w:rPr/>
  </w:style>
  <w:style w:type="paragraph" w:styleId="Index2">
    <w:name w:val="index 2"/>
    <w:basedOn w:val="Normal"/>
    <w:next w:val="Normal"/>
    <w:pPr>
      <w:ind w:hanging="240" w:start="480" w:end="0"/>
    </w:pPr>
    <w:rPr/>
  </w:style>
  <w:style w:type="paragraph" w:styleId="Index3">
    <w:name w:val="index 3"/>
    <w:basedOn w:val="Normal"/>
    <w:next w:val="Normal"/>
    <w:pPr>
      <w:ind w:hanging="240" w:start="720" w:end="0"/>
    </w:pPr>
    <w:rPr/>
  </w:style>
  <w:style w:type="paragraph" w:styleId="Index4">
    <w:name w:val="Index 4"/>
    <w:basedOn w:val="Normal"/>
    <w:next w:val="Normal"/>
    <w:qFormat/>
    <w:pPr>
      <w:ind w:hanging="240" w:start="960" w:end="0"/>
    </w:pPr>
    <w:rPr/>
  </w:style>
  <w:style w:type="paragraph" w:styleId="Index5">
    <w:name w:val="Index 5"/>
    <w:basedOn w:val="Normal"/>
    <w:next w:val="Normal"/>
    <w:qFormat/>
    <w:pPr>
      <w:ind w:hanging="240" w:start="1200" w:end="0"/>
    </w:pPr>
    <w:rPr/>
  </w:style>
  <w:style w:type="paragraph" w:styleId="Index6">
    <w:name w:val="Index 6"/>
    <w:basedOn w:val="Normal"/>
    <w:next w:val="Normal"/>
    <w:qFormat/>
    <w:pPr>
      <w:ind w:hanging="240" w:start="1440" w:end="0"/>
    </w:pPr>
    <w:rPr/>
  </w:style>
  <w:style w:type="paragraph" w:styleId="Index7">
    <w:name w:val="Index 7"/>
    <w:basedOn w:val="Normal"/>
    <w:next w:val="Normal"/>
    <w:qFormat/>
    <w:pPr>
      <w:ind w:hanging="240" w:start="1680" w:end="0"/>
    </w:pPr>
    <w:rPr/>
  </w:style>
  <w:style w:type="paragraph" w:styleId="Index8">
    <w:name w:val="Index 8"/>
    <w:basedOn w:val="Normal"/>
    <w:next w:val="Normal"/>
    <w:qFormat/>
    <w:pPr>
      <w:ind w:hanging="240" w:start="1920" w:end="0"/>
    </w:pPr>
    <w:rPr/>
  </w:style>
  <w:style w:type="paragraph" w:styleId="Index9">
    <w:name w:val="Index 9"/>
    <w:basedOn w:val="Normal"/>
    <w:next w:val="Normal"/>
    <w:qFormat/>
    <w:pPr>
      <w:ind w:hanging="240" w:start="2160" w:end="0"/>
    </w:pPr>
    <w:rPr/>
  </w:style>
  <w:style w:type="paragraph" w:styleId="IndexHeading">
    <w:name w:val="index heading"/>
    <w:basedOn w:val="Normal"/>
    <w:next w:val="Index1"/>
    <w:pPr/>
    <w:rPr>
      <w:rFonts w:ascii="Arial" w:hAnsi="Arial" w:cs="Arial"/>
      <w:b/>
    </w:rPr>
  </w:style>
  <w:style w:type="paragraph" w:styleId="ListBullet2">
    <w:name w:val="List Bullet 2"/>
    <w:basedOn w:val="Normal"/>
    <w:pPr>
      <w:ind w:hanging="360" w:start="720" w:end="0"/>
    </w:pPr>
    <w:rPr/>
  </w:style>
  <w:style w:type="paragraph" w:styleId="ListBullet3">
    <w:name w:val="List Bullet 3"/>
    <w:basedOn w:val="Normal"/>
    <w:pPr>
      <w:ind w:hanging="360" w:start="1080" w:end="0"/>
    </w:pPr>
    <w:rPr/>
  </w:style>
  <w:style w:type="paragraph" w:styleId="ListBullet4">
    <w:name w:val="List Bullet 4"/>
    <w:basedOn w:val="Normal"/>
    <w:pPr>
      <w:ind w:hanging="360" w:start="1440" w:end="0"/>
    </w:pPr>
    <w:rPr/>
  </w:style>
  <w:style w:type="paragraph" w:styleId="ListBullet5">
    <w:name w:val="List Bullet 5"/>
    <w:basedOn w:val="Normal"/>
    <w:pPr>
      <w:ind w:hanging="360" w:start="1800" w:end="0"/>
    </w:pPr>
    <w:rPr/>
  </w:style>
  <w:style w:type="paragraph" w:styleId="ListBullet">
    <w:name w:val="List Bullet"/>
    <w:basedOn w:val="Normal"/>
    <w:qFormat/>
    <w:pPr>
      <w:numPr>
        <w:ilvl w:val="0"/>
        <w:numId w:val="11"/>
      </w:numPr>
    </w:pPr>
    <w:rPr/>
  </w:style>
  <w:style w:type="paragraph" w:styleId="ListBullet21">
    <w:name w:val="List Bullet 21"/>
    <w:basedOn w:val="Normal"/>
    <w:qFormat/>
    <w:pPr>
      <w:numPr>
        <w:ilvl w:val="0"/>
        <w:numId w:val="9"/>
      </w:numPr>
    </w:pPr>
    <w:rPr/>
  </w:style>
  <w:style w:type="paragraph" w:styleId="ListBullet31">
    <w:name w:val="List Bullet 31"/>
    <w:basedOn w:val="Normal"/>
    <w:qFormat/>
    <w:pPr>
      <w:numPr>
        <w:ilvl w:val="0"/>
        <w:numId w:val="8"/>
      </w:numPr>
    </w:pPr>
    <w:rPr/>
  </w:style>
  <w:style w:type="paragraph" w:styleId="ListBullet41">
    <w:name w:val="List Bullet 41"/>
    <w:basedOn w:val="Normal"/>
    <w:qFormat/>
    <w:pPr>
      <w:numPr>
        <w:ilvl w:val="0"/>
        <w:numId w:val="7"/>
      </w:numPr>
    </w:pPr>
    <w:rPr/>
  </w:style>
  <w:style w:type="paragraph" w:styleId="ListBullet51">
    <w:name w:val="List Bullet 51"/>
    <w:basedOn w:val="Normal"/>
    <w:qFormat/>
    <w:pPr>
      <w:numPr>
        <w:ilvl w:val="0"/>
        <w:numId w:val="6"/>
      </w:numPr>
    </w:pPr>
    <w:rPr/>
  </w:style>
  <w:style w:type="paragraph" w:styleId="ListContinue">
    <w:name w:val="List Continue"/>
    <w:basedOn w:val="Normal"/>
    <w:qFormat/>
    <w:pPr>
      <w:spacing w:before="0" w:after="120"/>
      <w:ind w:hanging="0" w:start="360" w:end="0"/>
    </w:pPr>
    <w:rPr/>
  </w:style>
  <w:style w:type="paragraph" w:styleId="ListContinue2">
    <w:name w:val="List Continue 2"/>
    <w:basedOn w:val="Normal"/>
    <w:qFormat/>
    <w:pPr>
      <w:spacing w:before="0" w:after="120"/>
      <w:ind w:hanging="0" w:start="720" w:end="0"/>
    </w:pPr>
    <w:rPr/>
  </w:style>
  <w:style w:type="paragraph" w:styleId="ListContinue3">
    <w:name w:val="List Continue 3"/>
    <w:basedOn w:val="Normal"/>
    <w:qFormat/>
    <w:pPr>
      <w:spacing w:before="0" w:after="120"/>
      <w:ind w:hanging="0" w:start="1080" w:end="0"/>
    </w:pPr>
    <w:rPr/>
  </w:style>
  <w:style w:type="paragraph" w:styleId="ListContinue4">
    <w:name w:val="List Continue 4"/>
    <w:basedOn w:val="Normal"/>
    <w:qFormat/>
    <w:pPr>
      <w:spacing w:before="0" w:after="120"/>
      <w:ind w:hanging="0" w:start="1440" w:end="0"/>
    </w:pPr>
    <w:rPr/>
  </w:style>
  <w:style w:type="paragraph" w:styleId="ListContinue5">
    <w:name w:val="List Continue 5"/>
    <w:basedOn w:val="Normal"/>
    <w:qFormat/>
    <w:pPr>
      <w:spacing w:before="0" w:after="120"/>
      <w:ind w:hanging="0" w:start="1800" w:end="0"/>
    </w:pPr>
    <w:rPr/>
  </w:style>
  <w:style w:type="paragraph" w:styleId="ListNumber">
    <w:name w:val="List Number"/>
    <w:basedOn w:val="Normal"/>
    <w:qFormat/>
    <w:pPr>
      <w:numPr>
        <w:ilvl w:val="0"/>
        <w:numId w:val="10"/>
      </w:numPr>
    </w:pPr>
    <w:rPr/>
  </w:style>
  <w:style w:type="paragraph" w:styleId="ListNumber2">
    <w:name w:val="List Number 2"/>
    <w:basedOn w:val="Normal"/>
    <w:qFormat/>
    <w:pPr>
      <w:numPr>
        <w:ilvl w:val="0"/>
        <w:numId w:val="5"/>
      </w:numPr>
    </w:pPr>
    <w:rPr/>
  </w:style>
  <w:style w:type="paragraph" w:styleId="ListNumber3">
    <w:name w:val="List Number 3"/>
    <w:basedOn w:val="Normal"/>
    <w:qFormat/>
    <w:pPr>
      <w:numPr>
        <w:ilvl w:val="0"/>
        <w:numId w:val="4"/>
      </w:numPr>
    </w:pPr>
    <w:rPr/>
  </w:style>
  <w:style w:type="paragraph" w:styleId="ListNumber4">
    <w:name w:val="List Number 4"/>
    <w:basedOn w:val="Normal"/>
    <w:qFormat/>
    <w:pPr>
      <w:numPr>
        <w:ilvl w:val="0"/>
        <w:numId w:val="3"/>
      </w:numPr>
    </w:pPr>
    <w:rPr/>
  </w:style>
  <w:style w:type="paragraph" w:styleId="ListNumber5">
    <w:name w:val="List Number 5"/>
    <w:basedOn w:val="Normal"/>
    <w:qFormat/>
    <w:pPr>
      <w:numPr>
        <w:ilvl w:val="0"/>
        <w:numId w:val="2"/>
      </w:numPr>
    </w:pPr>
    <w:rPr/>
  </w:style>
  <w:style w:type="paragraph" w:styleId="MacroText">
    <w:name w:val="Macro Text"/>
    <w:qFormat/>
    <w:pPr>
      <w:widowControl/>
      <w:tabs>
        <w:tab w:val="clear" w:pos="720"/>
        <w:tab w:val="left" w:pos="480" w:leader="none"/>
        <w:tab w:val="left" w:pos="960" w:leader="none"/>
        <w:tab w:val="left" w:pos="1440" w:leader="none"/>
        <w:tab w:val="left" w:pos="1920" w:leader="none"/>
        <w:tab w:val="left" w:pos="2400" w:leader="none"/>
        <w:tab w:val="left" w:pos="2880" w:leader="none"/>
        <w:tab w:val="left" w:pos="3360" w:leader="none"/>
        <w:tab w:val="left" w:pos="3840" w:leader="none"/>
        <w:tab w:val="left" w:pos="4320" w:leader="none"/>
      </w:tabs>
      <w:bidi w:val="0"/>
    </w:pPr>
    <w:rPr>
      <w:rFonts w:ascii="Courier New" w:hAnsi="Courier New" w:eastAsia="Times New Roman" w:cs="Courier New"/>
      <w:color w:val="auto"/>
      <w:sz w:val="20"/>
      <w:szCs w:val="20"/>
      <w:lang w:val="en-US" w:eastAsia="zh-CN" w:bidi="hi-IN"/>
    </w:rPr>
  </w:style>
  <w:style w:type="paragraph" w:styleId="MessageHeader">
    <w:name w:val="Message Header"/>
    <w:basedOn w:val="Normal"/>
    <w:qFormat/>
    <w:pPr>
      <w:pBdr>
        <w:top w:val="single" w:sz="6" w:space="1" w:color="000000"/>
        <w:left w:val="single" w:sz="6" w:space="1" w:color="000000"/>
        <w:bottom w:val="single" w:sz="6" w:space="1" w:color="000000"/>
        <w:right w:val="single" w:sz="6" w:space="1" w:color="000000"/>
      </w:pBdr>
      <w:shd w:fill="CCCCCC" w:val="clear"/>
      <w:ind w:hanging="1080" w:start="1080" w:end="0"/>
    </w:pPr>
    <w:rPr>
      <w:rFonts w:ascii="Arial" w:hAnsi="Arial" w:cs="Arial"/>
    </w:rPr>
  </w:style>
  <w:style w:type="paragraph" w:styleId="NormalIndent">
    <w:name w:val="Normal Indent"/>
    <w:basedOn w:val="Normal"/>
    <w:qFormat/>
    <w:pPr>
      <w:ind w:hanging="0" w:start="720" w:end="0"/>
    </w:pPr>
    <w:rPr/>
  </w:style>
  <w:style w:type="paragraph" w:styleId="NoteHeading">
    <w:name w:val="Note Heading"/>
    <w:basedOn w:val="Normal"/>
    <w:next w:val="Normal"/>
    <w:qFormat/>
    <w:pPr/>
    <w:rPr/>
  </w:style>
  <w:style w:type="paragraph" w:styleId="PlainText">
    <w:name w:val="Plain Text"/>
    <w:basedOn w:val="Normal"/>
    <w:qFormat/>
    <w:pPr/>
    <w:rPr>
      <w:sz w:val="20"/>
    </w:rPr>
  </w:style>
  <w:style w:type="paragraph" w:styleId="Salutation">
    <w:name w:val="Salutation"/>
    <w:basedOn w:val="Normal"/>
    <w:next w:val="Normal"/>
    <w:qFormat/>
    <w:pPr/>
    <w:rPr/>
  </w:style>
  <w:style w:type="paragraph" w:styleId="Signature">
    <w:name w:val="Signature"/>
    <w:basedOn w:val="Normal"/>
    <w:pPr>
      <w:ind w:hanging="0" w:start="4320" w:end="0"/>
    </w:pPr>
    <w:rPr/>
  </w:style>
  <w:style w:type="paragraph" w:styleId="Subtitle">
    <w:name w:val="Subtitle"/>
    <w:basedOn w:val="Normal"/>
    <w:next w:val="BodyText"/>
    <w:qFormat/>
    <w:pPr>
      <w:spacing w:before="0" w:after="60"/>
      <w:jc w:val="center"/>
      <w:outlineLvl w:val="1"/>
    </w:pPr>
    <w:rPr>
      <w:rFonts w:ascii="Arial" w:hAnsi="Arial" w:cs="Arial"/>
    </w:rPr>
  </w:style>
  <w:style w:type="paragraph" w:styleId="TableofAuthorities">
    <w:name w:val="Table of Authorities"/>
    <w:basedOn w:val="Normal"/>
    <w:next w:val="Normal"/>
    <w:qFormat/>
    <w:pPr>
      <w:ind w:hanging="240" w:start="240" w:end="0"/>
    </w:pPr>
    <w:rPr/>
  </w:style>
  <w:style w:type="paragraph" w:styleId="TableofFigures">
    <w:name w:val="Table of Figures"/>
    <w:basedOn w:val="Normal"/>
    <w:next w:val="Normal"/>
    <w:qFormat/>
    <w:pPr>
      <w:ind w:hanging="480" w:start="480" w:end="0"/>
    </w:pPr>
    <w:rPr/>
  </w:style>
  <w:style w:type="paragraph" w:styleId="TOAHeading">
    <w:name w:val="TOA Heading"/>
    <w:basedOn w:val="Normal"/>
    <w:next w:val="Normal"/>
    <w:qFormat/>
    <w:pPr>
      <w:spacing w:before="120" w:after="0"/>
    </w:pPr>
    <w:rPr>
      <w:rFonts w:ascii="Arial" w:hAnsi="Arial" w:cs="Arial"/>
      <w:b/>
    </w:rPr>
  </w:style>
  <w:style w:type="paragraph" w:styleId="CenterTitle">
    <w:name w:val="Center Title"/>
    <w:basedOn w:val="Normal"/>
    <w:qFormat/>
    <w:pPr>
      <w:jc w:val="center"/>
    </w:pPr>
    <w:rPr/>
  </w:style>
  <w:style w:type="paragraph" w:styleId="Signoff">
    <w:name w:val="Sign off"/>
    <w:basedOn w:val="SignatureLine"/>
    <w:qFormat/>
    <w:pPr>
      <w:spacing w:before="0" w:after="960"/>
    </w:pPr>
    <w:rPr/>
  </w:style>
  <w:style w:type="paragraph" w:styleId="BodyTextctr">
    <w:name w:val="Body Text ctr"/>
    <w:basedOn w:val="BodyTextright"/>
    <w:qFormat/>
    <w:pPr>
      <w:jc w:val="center"/>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eader" Target="header1.xml"/><Relationship Id="rId3" Type="http://schemas.openxmlformats.org/officeDocument/2006/relationships/header" Target="header2.xml"/><Relationship Id="rId4" Type="http://schemas.openxmlformats.org/officeDocument/2006/relationships/footer" Target="footer1.xml"/><Relationship Id="rId5" Type="http://schemas.openxmlformats.org/officeDocument/2006/relationships/footer" Target="footer2.xml"/><Relationship Id="rId6" Type="http://schemas.openxmlformats.org/officeDocument/2006/relationships/header" Target="header3.xml"/><Relationship Id="rId7" Type="http://schemas.openxmlformats.org/officeDocument/2006/relationships/header" Target="header4.xml"/><Relationship Id="rId8" Type="http://schemas.openxmlformats.org/officeDocument/2006/relationships/footer" Target="footer3.xml"/><Relationship Id="rId9" Type="http://schemas.openxmlformats.org/officeDocument/2006/relationships/footer" Target="footer4.xml"/><Relationship Id="rId10" Type="http://schemas.openxmlformats.org/officeDocument/2006/relationships/footnotes" Target="footnotes.xml"/><Relationship Id="rId11" Type="http://schemas.openxmlformats.org/officeDocument/2006/relationships/numbering" Target="numbering.xml"/><Relationship Id="rId12" Type="http://schemas.openxmlformats.org/officeDocument/2006/relationships/fontTable" Target="fontTable.xml"/><Relationship Id="rId13" Type="http://schemas.openxmlformats.org/officeDocument/2006/relationships/settings" Target="settings.xml"/><Relationship Id="rId14"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0</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2000-08-08T15:30:00Z</dcterms:created>
  <dc:creator>word02</dc:creator>
  <dc:description/>
  <dc:language>en-CA</dc:language>
  <cp:lastModifiedBy>For Help Call PC Support x4277</cp:lastModifiedBy>
  <cp:lastPrinted>2000-08-08T12:45:00Z</cp:lastPrinted>
  <dcterms:modified xsi:type="dcterms:W3CDTF">2000-08-08T15:30:00Z</dcterms:modified>
  <cp:revision>2</cp:revision>
  <dc:subject/>
  <dc:title>test</dc:title>
</cp:coreProperties>
</file>