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t>March 13, 1998</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right" w:pos="8640" w:leader="none"/>
        </w:tabs>
        <w:rPr>
          <w:sz w:val="22"/>
        </w:rPr>
      </w:pPr>
      <w:r>
        <w:rPr>
          <w:b/>
          <w:sz w:val="22"/>
        </w:rPr>
        <w:tab/>
        <w:t>Confidential</w:t>
      </w:r>
    </w:p>
    <w:p>
      <w:pPr>
        <w:pStyle w:val="Normal"/>
        <w:rPr>
          <w:sz w:val="22"/>
        </w:rPr>
      </w:pPr>
      <w:r>
        <w:rPr>
          <w:sz w:val="22"/>
        </w:rPr>
        <w:t>Pierce Mechanical, Inc.</w:t>
      </w:r>
    </w:p>
    <w:p>
      <w:pPr>
        <w:pStyle w:val="Normal"/>
        <w:rPr>
          <w:sz w:val="22"/>
        </w:rPr>
      </w:pPr>
      <w:r>
        <w:rPr>
          <w:sz w:val="22"/>
        </w:rPr>
        <w:t>____________________</w:t>
      </w:r>
    </w:p>
    <w:p>
      <w:pPr>
        <w:pStyle w:val="Normal"/>
        <w:rPr>
          <w:sz w:val="22"/>
        </w:rPr>
      </w:pPr>
      <w:r>
        <w:rPr>
          <w:sz w:val="22"/>
        </w:rPr>
        <w:t>____________________</w:t>
      </w:r>
    </w:p>
    <w:p>
      <w:pPr>
        <w:pStyle w:val="Normal"/>
        <w:rPr>
          <w:sz w:val="22"/>
        </w:rPr>
      </w:pPr>
      <w:r>
        <w:rPr>
          <w:sz w:val="22"/>
        </w:rPr>
        <w:t>Attn: Jon Pierce</w:t>
      </w:r>
    </w:p>
    <w:p>
      <w:pPr>
        <w:pStyle w:val="Normal"/>
        <w:rPr>
          <w:sz w:val="22"/>
        </w:rPr>
      </w:pPr>
      <w:r>
        <w:rPr>
          <w:sz w:val="22"/>
        </w:rPr>
      </w:r>
    </w:p>
    <w:p>
      <w:pPr>
        <w:pStyle w:val="Normal"/>
        <w:rPr>
          <w:sz w:val="22"/>
        </w:rPr>
      </w:pPr>
      <w:r>
        <w:rPr>
          <w:sz w:val="22"/>
        </w:rPr>
      </w:r>
    </w:p>
    <w:p>
      <w:pPr>
        <w:pStyle w:val="Normal"/>
        <w:jc w:val="center"/>
        <w:rPr>
          <w:b/>
          <w:sz w:val="22"/>
        </w:rPr>
      </w:pPr>
      <w:r>
        <w:rPr>
          <w:b/>
          <w:sz w:val="22"/>
        </w:rPr>
        <w:t>Expression of Interest</w:t>
      </w:r>
    </w:p>
    <w:p>
      <w:pPr>
        <w:pStyle w:val="Normal"/>
        <w:jc w:val="center"/>
        <w:rPr>
          <w:b/>
          <w:sz w:val="22"/>
        </w:rPr>
      </w:pPr>
      <w:r>
        <w:rPr>
          <w:b/>
          <w:sz w:val="22"/>
        </w:rPr>
      </w:r>
    </w:p>
    <w:p>
      <w:pPr>
        <w:pStyle w:val="Normal"/>
        <w:rPr>
          <w:sz w:val="22"/>
        </w:rPr>
      </w:pPr>
      <w:r>
        <w:rPr>
          <w:sz w:val="22"/>
        </w:rPr>
        <w:t>Gentlemen</w:t>
      </w:r>
    </w:p>
    <w:p>
      <w:pPr>
        <w:pStyle w:val="Normal"/>
        <w:jc w:val="both"/>
        <w:rPr>
          <w:sz w:val="22"/>
        </w:rPr>
      </w:pPr>
      <w:r>
        <w:rPr>
          <w:sz w:val="22"/>
        </w:rPr>
      </w:r>
    </w:p>
    <w:p>
      <w:pPr>
        <w:pStyle w:val="Normal"/>
        <w:jc w:val="both"/>
        <w:rPr>
          <w:sz w:val="22"/>
        </w:rPr>
      </w:pPr>
      <w:r>
        <w:rPr>
          <w:sz w:val="22"/>
        </w:rPr>
        <w:tab/>
        <w:t>Enron Energy Services Operations, Inc. ("EES") is pleased to submit this preliminary non-binding expression of interest pertaining to the acquisition by EES and/or its affiliates of Pierce Mechanical, Inc. ("Pierce").  EES is an indirect subsidiary of Enron Corp. ("Enron") and conducts virtually all of Enron’s retail businesses.  EES’s core businesses include all types of transactions involving natural gas, electricity and telecommunications.  These activities include acquiring and developing energy related assets, as well as providing finance and risk management products to our customers.</w:t>
      </w:r>
    </w:p>
    <w:p>
      <w:pPr>
        <w:pStyle w:val="Normal"/>
        <w:jc w:val="both"/>
        <w:rPr>
          <w:sz w:val="22"/>
        </w:rPr>
      </w:pPr>
      <w:r>
        <w:rPr>
          <w:sz w:val="22"/>
        </w:rPr>
      </w:r>
    </w:p>
    <w:p>
      <w:pPr>
        <w:pStyle w:val="Normal"/>
        <w:jc w:val="both"/>
        <w:rPr>
          <w:sz w:val="22"/>
        </w:rPr>
      </w:pPr>
      <w:r>
        <w:rPr>
          <w:sz w:val="22"/>
        </w:rPr>
        <w:tab/>
        <w:t>Based upon our preliminary evaluation and subject to satisfactory completion of our due diligence, our analysis for the acquisition of Pierce indicates a total enterprise value in the range of approximately $________ in cash, free and clear of any indebtedness.  Although we have yet to conduct any due diligence, our evaluation assumes that EES would receive favorable tax treatment upon consummation of the transaction.</w:t>
      </w:r>
    </w:p>
    <w:p>
      <w:pPr>
        <w:pStyle w:val="Normal"/>
        <w:jc w:val="both"/>
        <w:rPr>
          <w:sz w:val="22"/>
        </w:rPr>
      </w:pPr>
      <w:r>
        <w:rPr>
          <w:sz w:val="22"/>
        </w:rPr>
      </w:r>
    </w:p>
    <w:p>
      <w:pPr>
        <w:pStyle w:val="Normal"/>
        <w:jc w:val="both"/>
        <w:rPr>
          <w:sz w:val="22"/>
        </w:rPr>
      </w:pPr>
      <w:r>
        <w:rPr>
          <w:sz w:val="22"/>
        </w:rPr>
        <w:tab/>
        <w:t>We would expect to finance the transaction from within EES or through funding vehicles already available for EES’s use and, therefore, we do not contemplate the need for specific third party financing.  In any event, no definitive proposal would contain a financing contingency.</w:t>
      </w:r>
    </w:p>
    <w:p>
      <w:pPr>
        <w:pStyle w:val="Normal"/>
        <w:jc w:val="both"/>
        <w:rPr>
          <w:sz w:val="22"/>
        </w:rPr>
      </w:pPr>
      <w:r>
        <w:rPr>
          <w:sz w:val="22"/>
        </w:rPr>
      </w:r>
    </w:p>
    <w:p>
      <w:pPr>
        <w:pStyle w:val="Normal"/>
        <w:jc w:val="both"/>
        <w:rPr>
          <w:sz w:val="22"/>
        </w:rPr>
      </w:pPr>
      <w:r>
        <w:rPr>
          <w:sz w:val="22"/>
        </w:rPr>
        <w:tab/>
        <w:t>We should be able to provide you with a proposed transaction schedule after we have completed preliminary due diligence.  We would assume that all books and records necessary for a thorough review of Pierce would be available, including those relating to corporate organization, property, plant and equipment, contracts, financial and accounting information, tax, regulatory, litigation, environmental, and employee and employee benefit matters.  We do not foresee any burdensome regulatory approvals, other than possibly a Hart-Scott-Rodino filing.</w:t>
      </w:r>
    </w:p>
    <w:p>
      <w:pPr>
        <w:pStyle w:val="Normal"/>
        <w:jc w:val="both"/>
        <w:rPr>
          <w:sz w:val="22"/>
        </w:rPr>
      </w:pPr>
      <w:r>
        <w:rPr>
          <w:sz w:val="22"/>
        </w:rPr>
      </w:r>
    </w:p>
    <w:p>
      <w:pPr>
        <w:pStyle w:val="Normal"/>
        <w:jc w:val="both"/>
        <w:rPr>
          <w:sz w:val="22"/>
        </w:rPr>
      </w:pPr>
      <w:r>
        <w:rPr>
          <w:sz w:val="22"/>
        </w:rPr>
        <w:tab/>
        <w:t>Our expression of interest is provided in response to your request and with the understanding that it is for discussion purposes only and is not an offer nor a commitment of EES or any of its affiliates to consummate or otherwise participate in the proposed transaction.  The consummation of any transaction would be subject to, among other matters, the satisfactory completion of due diligence by EES, the approval by the board of directors of EES, and if applicable, Enron, and the execution of definitive agreements.  This letter is delivered to you with the understanding that it will be treated confidentially.</w:t>
      </w:r>
    </w:p>
    <w:p>
      <w:pPr>
        <w:pStyle w:val="Normal"/>
        <w:jc w:val="both"/>
        <w:rPr>
          <w:sz w:val="22"/>
        </w:rPr>
      </w:pPr>
      <w:r>
        <w:rPr>
          <w:sz w:val="22"/>
        </w:rPr>
      </w:r>
    </w:p>
    <w:p>
      <w:pPr>
        <w:pStyle w:val="Normal"/>
        <w:jc w:val="both"/>
        <w:rPr>
          <w:sz w:val="22"/>
        </w:rPr>
      </w:pPr>
      <w:r>
        <w:rPr>
          <w:sz w:val="22"/>
        </w:rPr>
        <w:tab/>
        <w:t>EES is very interested in this opportunity and is prepared to allocate the necessary resources to ensure a timely evaluation and negotiation process.  Please contact the undersigned (713/853-5654) with any questions or to further discuss the transaction  We appreciate the opportunity to express our interest in the proposed transaction and we will look forward to hearing from you.</w:t>
      </w:r>
    </w:p>
    <w:p>
      <w:pPr>
        <w:pStyle w:val="Normal"/>
        <w:rPr>
          <w:sz w:val="22"/>
        </w:rPr>
      </w:pPr>
      <w:r>
        <w:rPr>
          <w:sz w:val="22"/>
        </w:rPr>
      </w:r>
    </w:p>
    <w:p>
      <w:pPr>
        <w:pStyle w:val="Normal"/>
        <w:tabs>
          <w:tab w:val="clear" w:pos="720"/>
          <w:tab w:val="left" w:pos="5040" w:leader="none"/>
        </w:tabs>
        <w:rPr>
          <w:sz w:val="22"/>
        </w:rPr>
      </w:pPr>
      <w:r>
        <w:rPr>
          <w:sz w:val="22"/>
        </w:rPr>
        <w:tab/>
        <w:t>Sincerely,</w:t>
      </w:r>
    </w:p>
    <w:p>
      <w:pPr>
        <w:pStyle w:val="Normal"/>
        <w:tabs>
          <w:tab w:val="clear" w:pos="720"/>
          <w:tab w:val="left" w:pos="5040" w:leader="none"/>
        </w:tabs>
        <w:rPr>
          <w:sz w:val="22"/>
        </w:rPr>
      </w:pPr>
      <w:r>
        <w:rPr>
          <w:sz w:val="22"/>
        </w:rPr>
      </w:r>
    </w:p>
    <w:p>
      <w:pPr>
        <w:pStyle w:val="Normal"/>
        <w:tabs>
          <w:tab w:val="clear" w:pos="720"/>
          <w:tab w:val="left" w:pos="5040" w:leader="none"/>
        </w:tabs>
        <w:rPr>
          <w:sz w:val="22"/>
        </w:rPr>
      </w:pPr>
      <w:r>
        <w:rPr>
          <w:sz w:val="22"/>
        </w:rPr>
      </w:r>
    </w:p>
    <w:p>
      <w:pPr>
        <w:pStyle w:val="Normal"/>
        <w:tabs>
          <w:tab w:val="clear" w:pos="720"/>
          <w:tab w:val="left" w:pos="5040" w:leader="none"/>
        </w:tabs>
        <w:rPr>
          <w:sz w:val="22"/>
        </w:rPr>
      </w:pPr>
      <w:r>
        <w:rPr>
          <w:sz w:val="22"/>
        </w:rPr>
      </w:r>
    </w:p>
    <w:p>
      <w:pPr>
        <w:pStyle w:val="Normal"/>
        <w:tabs>
          <w:tab w:val="clear" w:pos="720"/>
          <w:tab w:val="left" w:pos="5040" w:leader="none"/>
        </w:tabs>
        <w:rPr>
          <w:sz w:val="22"/>
        </w:rPr>
      </w:pPr>
      <w:r>
        <w:rPr>
          <w:sz w:val="22"/>
        </w:rPr>
        <w:tab/>
        <w:t>Mark S. Muller,</w:t>
      </w:r>
    </w:p>
    <w:p>
      <w:pPr>
        <w:pStyle w:val="Normal"/>
        <w:tabs>
          <w:tab w:val="clear" w:pos="720"/>
          <w:tab w:val="left" w:pos="5040" w:leader="none"/>
        </w:tabs>
        <w:rPr>
          <w:sz w:val="22"/>
        </w:rPr>
      </w:pPr>
      <w:r>
        <w:rPr>
          <w:sz w:val="22"/>
        </w:rPr>
        <w:tab/>
        <w:t>Senior Vice President</w:t>
      </w:r>
    </w:p>
    <w:p>
      <w:pPr>
        <w:pStyle w:val="Normal"/>
        <w:rPr>
          <w:sz w:val="22"/>
        </w:rPr>
      </w:pPr>
      <w:r>
        <w:rPr>
          <w:sz w:val="22"/>
        </w:rPr>
      </w:r>
    </w:p>
    <w:p>
      <w:pPr>
        <w:pStyle w:val="Normal"/>
        <w:rPr>
          <w:sz w:val="22"/>
        </w:rPr>
      </w:pPr>
      <w:r>
        <w:rPr>
          <w:sz w:val="22"/>
        </w:rPr>
      </w:r>
    </w:p>
    <w:p>
      <w:pPr>
        <w:pStyle w:val="Normal"/>
        <w:rPr>
          <w:sz w:val="22"/>
        </w:rPr>
      </w:pPr>
      <w:r>
        <w:rPr>
          <w:sz w:val="22"/>
        </w:rPr>
        <w:t>cc:</w:t>
        <w:tab/>
        <w:t>Dave Eichinger</w:t>
      </w:r>
    </w:p>
    <w:p>
      <w:pPr>
        <w:pStyle w:val="Normal"/>
        <w:rPr>
          <w:sz w:val="22"/>
        </w:rPr>
      </w:pPr>
      <w:r>
        <w:rPr>
          <w:sz w:val="22"/>
        </w:rPr>
        <w:tab/>
        <w:t>Robert Eickenroht</w:t>
      </w:r>
    </w:p>
    <w:p>
      <w:pPr>
        <w:pStyle w:val="Normal"/>
        <w:rPr>
          <w:sz w:val="22"/>
        </w:rPr>
      </w:pPr>
      <w:r>
        <w:rPr>
          <w:sz w:val="22"/>
        </w:rPr>
        <w:tab/>
        <w:t>Vicki Sharp</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Pierce Mechanical, Inc.</w:t>
    </w:r>
  </w:p>
  <w:p>
    <w:pPr>
      <w:pStyle w:val="Header"/>
      <w:rPr>
        <w:sz w:val="20"/>
      </w:rPr>
    </w:pPr>
    <w:r>
      <w:rPr>
        <w:sz w:val="20"/>
      </w:rPr>
      <w:t>Attn:  Jon Pierce</w:t>
    </w:r>
  </w:p>
  <w:p>
    <w:pPr>
      <w:pStyle w:val="Header"/>
      <w:tabs>
        <w:tab w:val="left" w:pos="450" w:leader="none"/>
        <w:tab w:val="center" w:pos="4320" w:leader="none"/>
        <w:tab w:val="right" w:pos="8640" w:leader="none"/>
      </w:tabs>
      <w:rPr>
        <w:sz w:val="20"/>
      </w:rPr>
    </w:pPr>
    <w:r>
      <w:rPr>
        <w:sz w:val="20"/>
      </w:rPr>
      <w:t>Re:  Expression of Interest</w:t>
    </w:r>
  </w:p>
  <w:p>
    <w:pPr>
      <w:pStyle w:val="Header"/>
      <w:rPr>
        <w:sz w:val="20"/>
      </w:rPr>
    </w:pPr>
    <w:r>
      <w:rPr>
        <w:sz w:val="20"/>
      </w:rPr>
      <w:t>March 13, 1998</w:t>
    </w:r>
  </w:p>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Header"/>
      <w:rPr>
        <w:rStyle w:val="PageNumber"/>
        <w:sz w:val="20"/>
      </w:rPr>
    </w:pPr>
    <w:r>
      <w:rPr/>
    </w:r>
  </w:p>
  <w:p>
    <w:pPr>
      <w:pStyle w:val="Header"/>
      <w:rPr>
        <w:rStyle w:val="PageNumber"/>
        <w:sz w:val="20"/>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1999-07-20T14:18:00Z</dcterms:created>
  <dc:creator>Unknown</dc:creator>
  <dc:description/>
  <dc:language>en-CA</dc:language>
  <cp:lastModifiedBy>ET&amp;S</cp:lastModifiedBy>
  <cp:lastPrinted>1999-07-20T11:47:00Z</cp:lastPrinted>
  <dcterms:modified xsi:type="dcterms:W3CDTF">1999-07-20T14:18:00Z</dcterms:modified>
  <cp:revision>2</cp:revision>
  <dc:subject/>
  <dc:title>November 8, 1995</dc:title>
</cp:coreProperties>
</file>