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November 10, 1999</w:t>
      </w:r>
    </w:p>
    <w:p>
      <w:pPr>
        <w:pStyle w:val="Normal"/>
        <w:rPr>
          <w:sz w:val="22"/>
        </w:rPr>
      </w:pPr>
      <w:r>
        <w:rPr>
          <w:sz w:val="22"/>
        </w:rPr>
      </w:r>
    </w:p>
    <w:p>
      <w:pPr>
        <w:pStyle w:val="Normal"/>
        <w:rPr>
          <w:sz w:val="22"/>
        </w:rPr>
      </w:pPr>
      <w:r>
        <w:rPr>
          <w:sz w:val="22"/>
        </w:rPr>
      </w:r>
    </w:p>
    <w:p>
      <w:pPr>
        <w:pStyle w:val="Normal"/>
        <w:rPr>
          <w:sz w:val="22"/>
        </w:rPr>
      </w:pPr>
      <w:r>
        <w:rPr>
          <w:b/>
          <w:sz w:val="22"/>
        </w:rPr>
        <w:t>Via Telecopy &amp; Hand Delivery</w:t>
      </w:r>
      <w:r>
        <w:rPr>
          <w:sz w:val="22"/>
        </w:rPr>
        <w:tab/>
        <w:tab/>
        <w:tab/>
        <w:tab/>
        <w:tab/>
      </w:r>
      <w:r>
        <w:rPr>
          <w:b/>
          <w:sz w:val="22"/>
        </w:rPr>
        <w:t>Personal &amp; Confidential</w:t>
      </w:r>
    </w:p>
    <w:p>
      <w:pPr>
        <w:pStyle w:val="Normal"/>
        <w:rPr>
          <w:sz w:val="22"/>
        </w:rPr>
      </w:pPr>
      <w:r>
        <w:rPr>
          <w:sz w:val="22"/>
        </w:rPr>
        <w:t>XXX</w:t>
      </w:r>
    </w:p>
    <w:p>
      <w:pPr>
        <w:pStyle w:val="Header"/>
        <w:tabs>
          <w:tab w:val="clear" w:pos="4320"/>
          <w:tab w:val="clear" w:pos="8640"/>
        </w:tabs>
        <w:rPr>
          <w:sz w:val="22"/>
        </w:rPr>
      </w:pPr>
      <w:r>
        <w:rPr>
          <w:sz w:val="22"/>
        </w:rPr>
        <w:t>__________________________</w:t>
      </w:r>
    </w:p>
    <w:p>
      <w:pPr>
        <w:pStyle w:val="Normal"/>
        <w:rPr>
          <w:sz w:val="22"/>
        </w:rPr>
      </w:pPr>
      <w:r>
        <w:rPr>
          <w:sz w:val="22"/>
        </w:rPr>
        <w:t>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t>Expression of Interest</w:t>
      </w:r>
    </w:p>
    <w:p>
      <w:pPr>
        <w:pStyle w:val="Normal"/>
        <w:jc w:val="center"/>
        <w:rPr>
          <w:b/>
          <w:sz w:val="22"/>
        </w:rPr>
      </w:pPr>
      <w:r>
        <w:rPr>
          <w:b/>
          <w:sz w:val="22"/>
        </w:rPr>
      </w:r>
    </w:p>
    <w:p>
      <w:pPr>
        <w:pStyle w:val="Normal"/>
        <w:rPr>
          <w:sz w:val="22"/>
        </w:rPr>
      </w:pPr>
      <w:r>
        <w:rPr>
          <w:sz w:val="22"/>
        </w:rPr>
        <w:t>Dear Mr. ________</w:t>
      </w:r>
    </w:p>
    <w:p>
      <w:pPr>
        <w:pStyle w:val="Normal"/>
        <w:jc w:val="both"/>
        <w:rPr>
          <w:sz w:val="22"/>
        </w:rPr>
      </w:pPr>
      <w:r>
        <w:rPr>
          <w:sz w:val="22"/>
        </w:rPr>
      </w:r>
    </w:p>
    <w:p>
      <w:pPr>
        <w:pStyle w:val="Normal"/>
        <w:jc w:val="both"/>
        <w:rPr>
          <w:sz w:val="22"/>
        </w:rPr>
      </w:pPr>
      <w:r>
        <w:rPr>
          <w:sz w:val="22"/>
        </w:rPr>
        <w:tab/>
        <w:t>Enron Pipeline Company ("EPC") is pleased to submit this preliminary non-binding expression of interest pertaining to the potential acquisition by EPC and/or its affiliates of ___________'s (i) ___% interest in _________________ ("Ddd") and (ii) wholly-owned _____________________ ("Sss") and _______________'s ________________________ ("Ttt" and, together with Ddd and Sss, the "Pipelines").  In that regard, we are providing the following information in response to the requirements set forth your letter dated October 23, 1999:</w:t>
      </w:r>
    </w:p>
    <w:p>
      <w:pPr>
        <w:pStyle w:val="Normal"/>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rPr>
        <w:t>Price:  Based upon our preliminary evaluation and subject to satisfactory completion of our due diligence, EPC is prepared to pay the following:</w:t>
      </w:r>
    </w:p>
    <w:p>
      <w:pPr>
        <w:pStyle w:val="Normal"/>
        <w:numPr>
          <w:ilvl w:val="0"/>
          <w:numId w:val="4"/>
        </w:numPr>
        <w:jc w:val="both"/>
        <w:rPr>
          <w:sz w:val="22"/>
        </w:rPr>
      </w:pPr>
      <w:r>
        <w:rPr>
          <w:sz w:val="22"/>
        </w:rPr>
        <w:t>approximately $____ million for Ddd;</w:t>
      </w:r>
    </w:p>
    <w:p>
      <w:pPr>
        <w:pStyle w:val="Normal"/>
        <w:numPr>
          <w:ilvl w:val="0"/>
          <w:numId w:val="4"/>
        </w:numPr>
        <w:jc w:val="both"/>
        <w:rPr>
          <w:sz w:val="22"/>
        </w:rPr>
      </w:pPr>
      <w:r>
        <w:rPr>
          <w:sz w:val="22"/>
        </w:rPr>
        <w:t>approximately $____ million for Sss; and</w:t>
      </w:r>
    </w:p>
    <w:p>
      <w:pPr>
        <w:pStyle w:val="Normal"/>
        <w:numPr>
          <w:ilvl w:val="0"/>
          <w:numId w:val="4"/>
        </w:numPr>
        <w:jc w:val="both"/>
        <w:rPr>
          <w:sz w:val="22"/>
        </w:rPr>
      </w:pPr>
      <w:r>
        <w:rPr>
          <w:sz w:val="22"/>
        </w:rPr>
        <w:t>approximately $____ million for Ttt.</w:t>
      </w:r>
    </w:p>
    <w:p>
      <w:pPr>
        <w:pStyle w:val="Normal"/>
        <w:ind w:start="1080" w:end="0"/>
        <w:jc w:val="both"/>
        <w:rPr>
          <w:sz w:val="22"/>
        </w:rPr>
      </w:pPr>
      <w:r>
        <w:rPr>
          <w:sz w:val="22"/>
        </w:rPr>
        <w:t>Such consideration would be paid in cash, stock or a combination of both.</w:t>
      </w:r>
    </w:p>
    <w:p>
      <w:pPr>
        <w:pStyle w:val="Normal"/>
        <w:jc w:val="both"/>
        <w:rPr>
          <w:sz w:val="22"/>
        </w:rPr>
      </w:pPr>
      <w:r>
        <w:rPr>
          <w:sz w:val="22"/>
        </w:rPr>
      </w:r>
    </w:p>
    <w:p>
      <w:pPr>
        <w:pStyle w:val="Normal"/>
        <w:numPr>
          <w:ilvl w:val="0"/>
          <w:numId w:val="3"/>
        </w:numPr>
        <w:tabs>
          <w:tab w:val="clear" w:pos="720"/>
          <w:tab w:val="left" w:pos="1080" w:leader="none"/>
        </w:tabs>
        <w:ind w:hanging="360" w:start="1080" w:end="0"/>
        <w:jc w:val="both"/>
        <w:rPr>
          <w:sz w:val="22"/>
        </w:rPr>
      </w:pPr>
      <w:r>
        <w:rPr>
          <w:sz w:val="22"/>
        </w:rPr>
        <w:t>Financing Sources: We would expect to finance each transaction from within EPC or through funding vehicles already available for EPC’s use and, therefore, we do not contemplate the need for specific third party financing.  In any event, no definitive proposal would contain a financing contingency.</w:t>
      </w:r>
    </w:p>
    <w:p>
      <w:pPr>
        <w:pStyle w:val="Normal"/>
        <w:ind w:start="720" w:end="0"/>
        <w:jc w:val="both"/>
        <w:rPr>
          <w:sz w:val="22"/>
        </w:rPr>
      </w:pPr>
      <w:r>
        <w:rPr>
          <w:sz w:val="22"/>
        </w:rPr>
      </w:r>
    </w:p>
    <w:p>
      <w:pPr>
        <w:pStyle w:val="Normal"/>
        <w:numPr>
          <w:ilvl w:val="0"/>
          <w:numId w:val="3"/>
        </w:numPr>
        <w:tabs>
          <w:tab w:val="clear" w:pos="720"/>
          <w:tab w:val="left" w:pos="1080" w:leader="none"/>
        </w:tabs>
        <w:ind w:hanging="360" w:start="1080" w:end="0"/>
        <w:jc w:val="both"/>
        <w:rPr>
          <w:sz w:val="22"/>
        </w:rPr>
      </w:pPr>
      <w:r>
        <w:rPr>
          <w:sz w:val="22"/>
        </w:rPr>
        <w:t xml:space="preserve">Due Diligence Requirements:  We assume that all books and records necessary for a thorough review of the Pipelines will be available, including those relating to corporate organization, real property (including, without limitation, ROW verification), equipment (including, without limitation, pipe integrity), contracts, financial and accounting information, tax, regulatory, litigation, environmental, operations, and employee and employee benefit matters.  </w:t>
      </w:r>
    </w:p>
    <w:p>
      <w:pPr>
        <w:pStyle w:val="Normal"/>
        <w:jc w:val="both"/>
        <w:rPr>
          <w:sz w:val="22"/>
        </w:rPr>
      </w:pPr>
      <w:r>
        <w:rPr>
          <w:sz w:val="22"/>
        </w:rPr>
      </w:r>
    </w:p>
    <w:p>
      <w:pPr>
        <w:pStyle w:val="Normal"/>
        <w:numPr>
          <w:ilvl w:val="0"/>
          <w:numId w:val="3"/>
        </w:numPr>
        <w:tabs>
          <w:tab w:val="clear" w:pos="720"/>
          <w:tab w:val="left" w:pos="1080" w:leader="none"/>
        </w:tabs>
        <w:ind w:hanging="360" w:start="1080" w:end="0"/>
        <w:jc w:val="both"/>
        <w:rPr>
          <w:sz w:val="22"/>
        </w:rPr>
      </w:pPr>
      <w:r>
        <w:rPr>
          <w:sz w:val="22"/>
        </w:rPr>
        <w:t>Required Approvals and Consents:  We do not foresee any burdensome regulatory approvals other than Hart-Scott-Rodino filings.  In addition, the consummation of any transaction would be subject to the approval by the board of directors of EPC, and if applicable, Enron Corp.</w:t>
      </w:r>
    </w:p>
    <w:p>
      <w:pPr>
        <w:pStyle w:val="Normal"/>
        <w:jc w:val="both"/>
        <w:rPr>
          <w:sz w:val="22"/>
        </w:rPr>
      </w:pPr>
      <w:r>
        <w:rPr>
          <w:sz w:val="22"/>
        </w:rPr>
      </w:r>
    </w:p>
    <w:p>
      <w:pPr>
        <w:pStyle w:val="Normal"/>
        <w:numPr>
          <w:ilvl w:val="0"/>
          <w:numId w:val="3"/>
        </w:numPr>
        <w:tabs>
          <w:tab w:val="clear" w:pos="720"/>
          <w:tab w:val="left" w:pos="1080" w:leader="none"/>
        </w:tabs>
        <w:ind w:hanging="360" w:start="1080" w:end="0"/>
        <w:jc w:val="both"/>
        <w:rPr>
          <w:sz w:val="22"/>
        </w:rPr>
      </w:pPr>
      <w:r>
        <w:rPr>
          <w:sz w:val="22"/>
        </w:rPr>
        <w:t>Timing:  EPC currently has no requirements regarding the closing date of a transaction.  EPC is prepared to allocate the necessary resources to this transaction to ensure a timely evaluation and negotiation process, in any event to occur early during the first quarter of 2000.</w:t>
      </w:r>
    </w:p>
    <w:p>
      <w:pPr>
        <w:pStyle w:val="Normal"/>
        <w:jc w:val="both"/>
        <w:rPr>
          <w:sz w:val="22"/>
        </w:rPr>
      </w:pPr>
      <w:r>
        <w:rPr>
          <w:sz w:val="22"/>
        </w:rPr>
      </w:r>
    </w:p>
    <w:p>
      <w:pPr>
        <w:pStyle w:val="Normal"/>
        <w:jc w:val="both"/>
        <w:rPr>
          <w:sz w:val="22"/>
        </w:rPr>
      </w:pPr>
      <w:r>
        <w:rPr>
          <w:sz w:val="22"/>
        </w:rPr>
        <w:tab/>
        <w:t>Our expression of interest is provided in response to your request and with the understanding that it is for discussion purposes only and is neither an offer nor a commitment of EPC or any of its affiliates to consummate or otherwise participate in the proposed transaction.  The consummation of any transaction would be subject to, among other matters, the satisfactory completion of due diligence by EPC, the approval by the board of directors of EPC, and if applicable, Enron Corp., and the execution of definitive agreements.  This letter is delivered to you with the understanding that it will be treated confidentially.</w:t>
      </w:r>
    </w:p>
    <w:p>
      <w:pPr>
        <w:pStyle w:val="Normal"/>
        <w:jc w:val="both"/>
        <w:rPr>
          <w:sz w:val="22"/>
        </w:rPr>
      </w:pPr>
      <w:r>
        <w:rPr>
          <w:sz w:val="22"/>
        </w:rPr>
      </w:r>
    </w:p>
    <w:p>
      <w:pPr>
        <w:pStyle w:val="Normal"/>
        <w:ind w:firstLine="720" w:end="0"/>
        <w:jc w:val="both"/>
        <w:rPr>
          <w:sz w:val="22"/>
        </w:rPr>
      </w:pPr>
      <w:r>
        <w:rPr>
          <w:sz w:val="22"/>
        </w:rPr>
        <w:t>We appreciate the opportunity to express our interest in the proposed transactions and we will look forward to hearing from you.</w:t>
      </w:r>
    </w:p>
    <w:p>
      <w:pPr>
        <w:pStyle w:val="Normal"/>
        <w:rPr>
          <w:sz w:val="22"/>
        </w:rPr>
      </w:pPr>
      <w:r>
        <w:rPr>
          <w:sz w:val="22"/>
        </w:rPr>
      </w:r>
    </w:p>
    <w:p>
      <w:pPr>
        <w:pStyle w:val="Header"/>
        <w:tabs>
          <w:tab w:val="clear" w:pos="4320"/>
          <w:tab w:val="clear" w:pos="8640"/>
          <w:tab w:val="left" w:pos="4680" w:leader="none"/>
        </w:tabs>
        <w:rPr>
          <w:sz w:val="22"/>
        </w:rPr>
      </w:pPr>
      <w:r>
        <w:rPr>
          <w:sz w:val="22"/>
        </w:rPr>
        <w:tab/>
        <w:t>Sincerely,</w:t>
      </w:r>
    </w:p>
    <w:p>
      <w:pPr>
        <w:pStyle w:val="Normal"/>
        <w:tabs>
          <w:tab w:val="clear" w:pos="720"/>
          <w:tab w:val="left" w:pos="4680" w:leader="none"/>
          <w:tab w:val="left" w:pos="5040" w:leader="none"/>
        </w:tabs>
        <w:rPr/>
      </w:pPr>
      <w:r>
        <w:rPr>
          <w:sz w:val="22"/>
        </w:rPr>
        <w:tab/>
      </w:r>
      <w:r>
        <w:rPr>
          <w:b/>
          <w:sz w:val="22"/>
        </w:rPr>
        <w:t>ENRON PIPELINE COMPANY</w:t>
      </w:r>
    </w:p>
    <w:p>
      <w:pPr>
        <w:pStyle w:val="Normal"/>
        <w:tabs>
          <w:tab w:val="clear" w:pos="720"/>
          <w:tab w:val="left" w:pos="5040" w:leader="none"/>
        </w:tabs>
        <w:rPr>
          <w:b/>
          <w:sz w:val="22"/>
        </w:rPr>
      </w:pPr>
      <w:r>
        <w:rPr>
          <w:b/>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Header"/>
        <w:tabs>
          <w:tab w:val="clear" w:pos="4320"/>
          <w:tab w:val="clear" w:pos="8640"/>
          <w:tab w:val="left" w:pos="4680" w:leader="none"/>
          <w:tab w:val="left" w:pos="5040" w:leader="none"/>
        </w:tabs>
        <w:rPr>
          <w:sz w:val="22"/>
        </w:rPr>
      </w:pPr>
      <w:r>
        <w:rPr>
          <w:sz w:val="22"/>
        </w:rPr>
        <w:tab/>
        <w:t>John Goodpasture</w:t>
      </w:r>
    </w:p>
    <w:p>
      <w:pPr>
        <w:pStyle w:val="Header"/>
        <w:tabs>
          <w:tab w:val="clear" w:pos="4320"/>
          <w:tab w:val="clear" w:pos="8640"/>
          <w:tab w:val="left" w:pos="4680" w:leader="none"/>
        </w:tabs>
        <w:rPr>
          <w:sz w:val="22"/>
        </w:rPr>
      </w:pPr>
      <w:r>
        <w:rPr>
          <w:sz w:val="22"/>
        </w:rPr>
        <w:tab/>
        <w:t>Vice President, Business Development</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Donaldson, Lufkin &amp; Jenrette Securities Corporation</w:t>
    </w:r>
  </w:p>
  <w:p>
    <w:pPr>
      <w:pStyle w:val="Header"/>
      <w:tabs>
        <w:tab w:val="left" w:pos="450" w:leader="none"/>
        <w:tab w:val="center" w:pos="4320" w:leader="none"/>
        <w:tab w:val="right" w:pos="8640" w:leader="none"/>
      </w:tabs>
      <w:rPr>
        <w:sz w:val="22"/>
      </w:rPr>
    </w:pPr>
    <w:r>
      <w:rPr>
        <w:sz w:val="22"/>
      </w:rPr>
      <w:t>Re:  Expression of Interest</w:t>
    </w:r>
  </w:p>
  <w:p>
    <w:pPr>
      <w:pStyle w:val="Header"/>
      <w:rPr>
        <w:sz w:val="22"/>
      </w:rPr>
    </w:pPr>
    <w:r>
      <w:rPr>
        <w:sz w:val="22"/>
      </w:rPr>
      <w:t>November 10,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Roman"/>
      <w:lvlText w:val="(%1)"/>
      <w:lvlJc w:val="start"/>
      <w:pPr>
        <w:tabs>
          <w:tab w:val="num" w:pos="1800"/>
        </w:tabs>
        <w:ind w:start="180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2000-02-16T19:07:00Z</dcterms:created>
  <dc:creator>kwilkie</dc:creator>
  <dc:description/>
  <dc:language>en-CA</dc:language>
  <cp:lastModifiedBy>ET&amp;S</cp:lastModifiedBy>
  <cp:lastPrinted>1999-11-10T12:57:00Z</cp:lastPrinted>
  <dcterms:modified xsi:type="dcterms:W3CDTF">2000-02-16T19:14:00Z</dcterms:modified>
  <cp:revision>3</cp:revision>
  <dc:subject/>
  <dc:title>November 8, 1995</dc:title>
</cp:coreProperties>
</file>