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officedocument/2006/relationships/metadata/core-properties" Target="docProps/core.xml"/><Relationship Id="rId2" Type="http://schemas.openxmlformats.org/officeDocument/2006/relationships/extended-properties" Target="docProps/app.xml"/><Relationship Id="rId3"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pic="http://schemas.openxmlformats.org/drawingml/2006/picture"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ody>
    <w:p>
      <w:pPr>
        <w:pStyle w:val="Normal"/>
        <w:ind w:start="360" w:end="0"/>
        <w:rPr/>
      </w:pPr>
      <w:r>
        <w:rPr/>
        <w:t>August 3, 2001</w:t>
      </w:r>
    </w:p>
    <w:p>
      <w:pPr>
        <w:pStyle w:val="Normal"/>
        <w:rPr/>
      </w:pPr>
      <w:r>
        <w:rPr/>
      </w:r>
    </w:p>
    <w:p>
      <w:pPr>
        <w:pStyle w:val="Normal"/>
        <w:ind w:start="360" w:end="0"/>
        <w:rPr/>
      </w:pPr>
      <w:r>
        <w:rPr/>
        <w:t>To:  Mark Kraus</w:t>
      </w:r>
    </w:p>
    <w:p>
      <w:pPr>
        <w:pStyle w:val="Normal"/>
        <w:ind w:start="360" w:end="0"/>
        <w:rPr/>
      </w:pPr>
      <w:r>
        <w:rPr/>
        <w:t>Cc:</w:t>
        <w:tab/>
        <w:t xml:space="preserve"> Rich Jolly</w:t>
      </w:r>
    </w:p>
    <w:p>
      <w:pPr>
        <w:pStyle w:val="Normal"/>
        <w:rPr/>
      </w:pPr>
      <w:r>
        <w:rPr/>
      </w:r>
    </w:p>
    <w:p>
      <w:pPr>
        <w:pStyle w:val="Normal"/>
        <w:ind w:start="360" w:end="0"/>
        <w:rPr/>
      </w:pPr>
      <w:r>
        <w:rPr/>
        <w:t>Re:  EOG</w:t>
      </w:r>
      <w:r>
        <w:rPr>
          <w:b/>
          <w:bCs/>
        </w:rPr>
        <w:t>RM</w:t>
      </w:r>
      <w:r>
        <w:rPr/>
        <w:t>/TW  Interconnect</w:t>
      </w:r>
    </w:p>
    <w:p>
      <w:pPr>
        <w:pStyle w:val="Normal"/>
        <w:rPr/>
      </w:pPr>
      <w:r>
        <w:rPr/>
      </w:r>
    </w:p>
    <w:p>
      <w:pPr>
        <w:pStyle w:val="Normal"/>
        <w:ind w:start="360" w:end="0"/>
        <w:rPr/>
      </w:pPr>
      <w:r>
        <w:rPr/>
        <w:t xml:space="preserve">On Friday, July 20, 2001, a meeting was held at the Transwestern (TW) WT-1 facility between </w:t>
      </w:r>
      <w:r>
        <w:rPr>
          <w:b/>
          <w:bCs/>
        </w:rPr>
        <w:t>EOG Resources Marketing Inc.</w:t>
      </w:r>
      <w:r>
        <w:rPr/>
        <w:t>,(EOG</w:t>
      </w:r>
      <w:r>
        <w:rPr>
          <w:b/>
          <w:bCs/>
        </w:rPr>
        <w:t>RM)</w:t>
      </w:r>
      <w:r>
        <w:rPr/>
        <w:t xml:space="preserve"> and TW representatives to discuss the existing interconnect on the TW West Texas Lateral, known as the  “EOG Pronghorn” interconnect. The following comments will memorialize the discussions.</w:t>
      </w:r>
    </w:p>
    <w:p>
      <w:pPr>
        <w:pStyle w:val="Normal"/>
        <w:rPr/>
      </w:pPr>
      <w:r>
        <w:rPr/>
      </w:r>
    </w:p>
    <w:p>
      <w:pPr>
        <w:pStyle w:val="Normal"/>
        <w:rPr>
          <w:rFonts w:eastAsia="Arial"/>
        </w:rPr>
      </w:pPr>
      <w:r>
        <w:rPr>
          <w:rFonts w:eastAsia="Arial"/>
        </w:rPr>
        <w:t xml:space="preserve">     </w:t>
      </w:r>
    </w:p>
    <w:p>
      <w:pPr>
        <w:pStyle w:val="Heading1"/>
        <w:rPr/>
      </w:pPr>
      <w:r>
        <w:rPr/>
        <w:t>EOG Resources Marketing Responsibility</w:t>
      </w:r>
    </w:p>
    <w:p>
      <w:pPr>
        <w:pStyle w:val="Normal"/>
        <w:rPr/>
      </w:pPr>
      <w:r>
        <w:rPr/>
        <w:tab/>
      </w:r>
    </w:p>
    <w:p>
      <w:pPr>
        <w:pStyle w:val="Normal"/>
        <w:ind w:start="360" w:end="0"/>
        <w:jc w:val="both"/>
        <w:rPr/>
      </w:pPr>
      <w:r>
        <w:rPr/>
        <w:t>EOG</w:t>
      </w:r>
      <w:r>
        <w:rPr>
          <w:b/>
          <w:bCs/>
        </w:rPr>
        <w:t>RM</w:t>
      </w:r>
      <w:r>
        <w:rPr/>
        <w:t xml:space="preserve"> will provide power to the site.</w:t>
      </w:r>
    </w:p>
    <w:p>
      <w:pPr>
        <w:pStyle w:val="Normal"/>
        <w:ind w:start="360" w:end="0"/>
        <w:jc w:val="both"/>
        <w:rPr/>
      </w:pPr>
      <w:r>
        <w:rPr/>
      </w:r>
    </w:p>
    <w:p>
      <w:pPr>
        <w:pStyle w:val="Normal"/>
        <w:ind w:start="360" w:end="0"/>
        <w:jc w:val="both"/>
        <w:rPr/>
      </w:pPr>
      <w:r>
        <w:rPr/>
        <w:t>EOG</w:t>
      </w:r>
      <w:r>
        <w:rPr>
          <w:b/>
          <w:bCs/>
        </w:rPr>
        <w:t>RM</w:t>
      </w:r>
      <w:r>
        <w:rPr/>
        <w:t xml:space="preserve"> will own the facilities.</w:t>
      </w:r>
    </w:p>
    <w:p>
      <w:pPr>
        <w:pStyle w:val="Normal"/>
        <w:ind w:start="360" w:end="0"/>
        <w:jc w:val="both"/>
        <w:rPr/>
      </w:pPr>
      <w:r>
        <w:rPr/>
      </w:r>
    </w:p>
    <w:p>
      <w:pPr>
        <w:pStyle w:val="Normal"/>
        <w:ind w:start="360" w:end="0"/>
        <w:rPr/>
      </w:pPr>
      <w:r>
        <w:rPr/>
        <w:t>EOG</w:t>
      </w:r>
      <w:r>
        <w:rPr>
          <w:b/>
          <w:bCs/>
        </w:rPr>
        <w:t>RM</w:t>
      </w:r>
      <w:r>
        <w:rPr/>
        <w:t xml:space="preserve"> will install the meter run, control valve, shut-in valve, building, and all gas quality equipment required by TW (Danalyzer chromatograph, Kahn moisture monitor, Delmar H2S analyzer) per Enron’s specifications at EOG</w:t>
      </w:r>
      <w:r>
        <w:rPr>
          <w:b/>
          <w:bCs/>
        </w:rPr>
        <w:t>RM</w:t>
      </w:r>
      <w:r>
        <w:rPr/>
        <w:t>’s cost.</w:t>
      </w:r>
    </w:p>
    <w:p>
      <w:pPr>
        <w:pStyle w:val="Normal"/>
        <w:ind w:start="360" w:end="0"/>
        <w:rPr/>
      </w:pPr>
      <w:r>
        <w:rPr/>
      </w:r>
    </w:p>
    <w:p>
      <w:pPr>
        <w:pStyle w:val="Normal"/>
        <w:ind w:start="360" w:end="0"/>
        <w:jc w:val="both"/>
        <w:rPr/>
      </w:pPr>
      <w:r>
        <w:rPr/>
        <w:t>EOG</w:t>
      </w:r>
      <w:r>
        <w:rPr>
          <w:b/>
          <w:bCs/>
        </w:rPr>
        <w:t>RM</w:t>
      </w:r>
      <w:r>
        <w:rPr/>
        <w:t xml:space="preserve"> will install a scrubber upstream of the meter run. </w:t>
      </w:r>
    </w:p>
    <w:p>
      <w:pPr>
        <w:pStyle w:val="Normal"/>
        <w:ind w:start="360" w:end="0"/>
        <w:jc w:val="both"/>
        <w:rPr/>
      </w:pPr>
      <w:r>
        <w:rPr/>
      </w:r>
    </w:p>
    <w:p>
      <w:pPr>
        <w:pStyle w:val="Normal"/>
        <w:ind w:start="360" w:end="0"/>
        <w:jc w:val="both"/>
        <w:rPr/>
      </w:pPr>
      <w:r>
        <w:rPr/>
        <w:t>EOG</w:t>
      </w:r>
      <w:r>
        <w:rPr>
          <w:b/>
          <w:bCs/>
        </w:rPr>
        <w:t>RM</w:t>
      </w:r>
      <w:r>
        <w:rPr/>
        <w:t xml:space="preserve"> will pay TW for all the materials already purchased for this project at invoice cost, with the material invoice from the vendor attached to the EOG</w:t>
      </w:r>
      <w:r>
        <w:rPr>
          <w:b/>
          <w:bCs/>
        </w:rPr>
        <w:t>RM</w:t>
      </w:r>
      <w:r>
        <w:rPr/>
        <w:t xml:space="preserve"> invoice.</w:t>
      </w:r>
    </w:p>
    <w:p>
      <w:pPr>
        <w:pStyle w:val="Normal"/>
        <w:ind w:start="360" w:end="0"/>
        <w:jc w:val="both"/>
        <w:rPr>
          <w:rFonts w:eastAsia="Arial"/>
        </w:rPr>
      </w:pPr>
      <w:r>
        <w:rPr>
          <w:rFonts w:eastAsia="Arial"/>
        </w:rPr>
        <w:t xml:space="preserve"> </w:t>
      </w:r>
    </w:p>
    <w:p>
      <w:pPr>
        <w:pStyle w:val="Normal"/>
        <w:ind w:start="360" w:end="0"/>
        <w:jc w:val="both"/>
        <w:rPr/>
      </w:pPr>
      <w:r>
        <w:rPr/>
        <w:t>EOG</w:t>
      </w:r>
      <w:r>
        <w:rPr>
          <w:b/>
          <w:bCs/>
        </w:rPr>
        <w:t>RM</w:t>
      </w:r>
      <w:r>
        <w:rPr/>
        <w:t xml:space="preserve"> will install an actuated valve upstream of the meter run with an OPP switch to close the valve on high overpressure.  TW will maintain and operate this valve.  This recognizes the fact that EOG’s MAOP of 1100+ is higher than TW’s MAOP of 1008.</w:t>
      </w:r>
    </w:p>
    <w:p>
      <w:pPr>
        <w:pStyle w:val="Normal"/>
        <w:ind w:start="360" w:end="0"/>
        <w:jc w:val="both"/>
        <w:rPr/>
      </w:pPr>
      <w:r>
        <w:rPr/>
      </w:r>
    </w:p>
    <w:p>
      <w:pPr>
        <w:pStyle w:val="Normal"/>
        <w:ind w:start="360" w:end="0"/>
        <w:jc w:val="both"/>
        <w:rPr/>
      </w:pPr>
      <w:r>
        <w:rPr/>
        <w:t>EOG</w:t>
      </w:r>
      <w:r>
        <w:rPr>
          <w:b/>
          <w:bCs/>
        </w:rPr>
        <w:t>RM</w:t>
      </w:r>
      <w:r>
        <w:rPr/>
        <w:t xml:space="preserve"> will install a Gallagher Flow Conditioner in the meter run and the meter run will meet Enron specs.</w:t>
      </w:r>
    </w:p>
    <w:p>
      <w:pPr>
        <w:pStyle w:val="Normal"/>
        <w:ind w:start="360" w:end="0"/>
        <w:jc w:val="both"/>
        <w:rPr/>
      </w:pPr>
      <w:r>
        <w:rPr/>
      </w:r>
    </w:p>
    <w:p>
      <w:pPr>
        <w:pStyle w:val="Normal"/>
        <w:ind w:start="360" w:end="0"/>
        <w:jc w:val="both"/>
        <w:rPr/>
      </w:pPr>
      <w:r>
        <w:rPr/>
        <w:t>EOG</w:t>
      </w:r>
      <w:r>
        <w:rPr>
          <w:b/>
          <w:bCs/>
        </w:rPr>
        <w:t>RM</w:t>
      </w:r>
      <w:r>
        <w:rPr/>
        <w:t xml:space="preserve"> will provide TW with drawings for the meter run and all associated facilities, along with test pressures and other necessary records for compliance to Enron and DOT specifications.</w:t>
      </w:r>
    </w:p>
    <w:p>
      <w:pPr>
        <w:pStyle w:val="Normal"/>
        <w:ind w:start="360" w:end="0"/>
        <w:jc w:val="both"/>
        <w:rPr/>
      </w:pPr>
      <w:r>
        <w:rPr/>
      </w:r>
    </w:p>
    <w:p>
      <w:pPr>
        <w:pStyle w:val="Normal"/>
        <w:ind w:start="360" w:end="0"/>
        <w:jc w:val="both"/>
        <w:rPr/>
      </w:pPr>
      <w:r>
        <w:rPr/>
        <w:t>EOG</w:t>
      </w:r>
      <w:r>
        <w:rPr>
          <w:b/>
          <w:bCs/>
        </w:rPr>
        <w:t>RM</w:t>
      </w:r>
      <w:r>
        <w:rPr/>
        <w:t xml:space="preserve"> will notify TW of any new production wells coming on prior to the quality control equipment being in place.</w:t>
      </w:r>
    </w:p>
    <w:p>
      <w:pPr>
        <w:pStyle w:val="Normal"/>
        <w:ind w:start="360" w:end="0"/>
        <w:jc w:val="both"/>
        <w:rPr/>
      </w:pPr>
      <w:r>
        <w:rPr/>
      </w:r>
    </w:p>
    <w:p>
      <w:pPr>
        <w:pStyle w:val="Heading2"/>
        <w:rPr/>
      </w:pPr>
      <w:r>
        <w:rPr/>
        <w:t>Transwestern Responsibility</w:t>
      </w:r>
    </w:p>
    <w:p>
      <w:pPr>
        <w:pStyle w:val="Normal"/>
        <w:ind w:start="360" w:end="0"/>
        <w:jc w:val="both"/>
        <w:rPr/>
      </w:pPr>
      <w:r>
        <w:rPr/>
      </w:r>
    </w:p>
    <w:p>
      <w:pPr>
        <w:pStyle w:val="Normal"/>
        <w:ind w:start="360" w:end="0"/>
        <w:jc w:val="both"/>
        <w:rPr/>
      </w:pPr>
      <w:r>
        <w:rPr/>
        <w:t>Upon completion, TW will operate the meter run, flow control valve and the shut-in valve. Any maintenance or repair to the facilities performed on EOG</w:t>
      </w:r>
      <w:r>
        <w:rPr>
          <w:b/>
          <w:bCs/>
        </w:rPr>
        <w:t>RM</w:t>
      </w:r>
      <w:r>
        <w:rPr/>
        <w:t>’s behalf will be reimbursed by EOG</w:t>
      </w:r>
      <w:r>
        <w:rPr>
          <w:b/>
          <w:bCs/>
        </w:rPr>
        <w:t>RM</w:t>
      </w:r>
      <w:r>
        <w:rPr/>
        <w:t xml:space="preserve"> to TW upon presentation of an invoice.  The flow control valve from EOG</w:t>
      </w:r>
      <w:r>
        <w:rPr>
          <w:b/>
          <w:bCs/>
        </w:rPr>
        <w:t>RM</w:t>
      </w:r>
      <w:r>
        <w:rPr/>
        <w:t xml:space="preserve"> will have calculations completed by Enron for flow ranges prior to EOG</w:t>
      </w:r>
      <w:r>
        <w:rPr>
          <w:b/>
          <w:bCs/>
        </w:rPr>
        <w:t>RM</w:t>
      </w:r>
      <w:r>
        <w:rPr/>
        <w:t xml:space="preserve">installing.  </w:t>
      </w:r>
      <w:r>
        <w:rPr>
          <w:b/>
          <w:bCs/>
        </w:rPr>
        <w:t xml:space="preserve">Any no emergency maintenance, repair, or other changes to the facilities by TW are subject to 72 hours notification to EOGRM by TW prior to the start of such work. </w:t>
      </w:r>
    </w:p>
    <w:p>
      <w:pPr>
        <w:pStyle w:val="Normal"/>
        <w:ind w:start="360" w:end="0"/>
        <w:jc w:val="both"/>
        <w:rPr>
          <w:rFonts w:eastAsia="Arial"/>
        </w:rPr>
      </w:pPr>
      <w:r>
        <w:rPr>
          <w:rFonts w:eastAsia="Arial"/>
        </w:rPr>
        <w:t xml:space="preserve">  </w:t>
      </w:r>
    </w:p>
    <w:p>
      <w:pPr>
        <w:pStyle w:val="Normal"/>
        <w:ind w:start="360" w:end="0"/>
        <w:jc w:val="both"/>
        <w:rPr/>
      </w:pPr>
      <w:r>
        <w:rPr/>
        <w:t xml:space="preserve">TW will provide an inspector on site during construction to coordinate and ensure the facilities are built to Enron and DOT specifications. </w:t>
      </w:r>
    </w:p>
    <w:p>
      <w:pPr>
        <w:pStyle w:val="Normal"/>
        <w:ind w:start="360" w:end="0"/>
        <w:jc w:val="both"/>
        <w:rPr/>
      </w:pPr>
      <w:r>
        <w:rPr/>
      </w:r>
    </w:p>
    <w:p>
      <w:pPr>
        <w:pStyle w:val="Normal"/>
        <w:ind w:start="360" w:end="0"/>
        <w:rPr/>
      </w:pPr>
      <w:r>
        <w:rPr/>
        <w:t>EOG</w:t>
      </w:r>
      <w:r>
        <w:rPr>
          <w:b/>
          <w:bCs/>
        </w:rPr>
        <w:t>RM</w:t>
      </w:r>
      <w:r>
        <w:rPr/>
        <w:t xml:space="preserve"> initially did not want the facilities to have flow control, but TW indicated that it was necessary to assure the integrity of the scheduled volume.  However, prior to shutting the valve TW will agree to notify Jerry Ball, or Mark Kraus. </w:t>
      </w:r>
    </w:p>
    <w:p>
      <w:pPr>
        <w:pStyle w:val="Normal"/>
        <w:ind w:start="360" w:end="0"/>
        <w:jc w:val="both"/>
        <w:rPr/>
      </w:pPr>
      <w:r>
        <w:rPr/>
      </w:r>
    </w:p>
    <w:p>
      <w:pPr>
        <w:pStyle w:val="BodyTextIndent"/>
        <w:rPr/>
      </w:pPr>
      <w:r>
        <w:rPr/>
        <w:t>The interconnect, with all the quality control equipment, is to be installed and operational by August 31, 2001.</w:t>
      </w:r>
    </w:p>
    <w:p>
      <w:pPr>
        <w:pStyle w:val="Normal"/>
        <w:ind w:start="360" w:end="0"/>
        <w:jc w:val="both"/>
        <w:rPr>
          <w:rFonts w:eastAsia="Arial"/>
        </w:rPr>
      </w:pPr>
      <w:r>
        <w:rPr>
          <w:rFonts w:eastAsia="Arial"/>
        </w:rPr>
        <w:t xml:space="preserve">  </w:t>
      </w:r>
    </w:p>
    <w:p>
      <w:pPr>
        <w:pStyle w:val="Normal"/>
        <w:ind w:start="360" w:end="0"/>
        <w:jc w:val="both"/>
        <w:rPr/>
      </w:pPr>
      <w:r>
        <w:rPr/>
        <w:t xml:space="preserve">TW will install the SCADA communication with Houston </w:t>
      </w:r>
      <w:r>
        <w:rPr>
          <w:b/>
          <w:bCs/>
        </w:rPr>
        <w:t>at no additional cost to EOGRM.</w:t>
      </w:r>
    </w:p>
    <w:p>
      <w:pPr>
        <w:pStyle w:val="Normal"/>
        <w:ind w:start="360" w:end="0"/>
        <w:jc w:val="both"/>
        <w:rPr>
          <w:b/>
          <w:bCs/>
        </w:rPr>
      </w:pPr>
      <w:r>
        <w:rPr>
          <w:b/>
          <w:bCs/>
        </w:rPr>
      </w:r>
    </w:p>
    <w:p>
      <w:pPr>
        <w:pStyle w:val="Normal"/>
        <w:ind w:start="360" w:end="0"/>
        <w:jc w:val="both"/>
        <w:rPr/>
      </w:pPr>
      <w:r>
        <w:rPr/>
        <w:t>TW agrees to deliver materials currently on hand for this project to EOG</w:t>
      </w:r>
      <w:r>
        <w:rPr>
          <w:b/>
          <w:bCs/>
        </w:rPr>
        <w:t>RM</w:t>
      </w:r>
      <w:r>
        <w:rPr/>
        <w:t xml:space="preserve"> in Lovington </w:t>
      </w:r>
      <w:r>
        <w:rPr>
          <w:b/>
          <w:bCs/>
        </w:rPr>
        <w:t>by Monday, August 13, 2001</w:t>
      </w:r>
      <w:r>
        <w:rPr/>
        <w:t xml:space="preserve">.  </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Please indicate by signing below your understanding and acceptance of these comments.  Both companies also agree via this letter to enter into a new Operating &amp; Interconnect Agreement that incorporates this information and the revised intentions presented by both companies.  It is understood that this new Agreement will be fully executed by August 31, 2001.</w:t>
      </w:r>
    </w:p>
    <w:p>
      <w:pPr>
        <w:pStyle w:val="Normal"/>
        <w:ind w:start="360" w:end="0"/>
        <w:jc w:val="both"/>
        <w:rPr/>
      </w:pPr>
      <w:r>
        <w:rPr/>
      </w:r>
    </w:p>
    <w:p>
      <w:pPr>
        <w:pStyle w:val="Normal"/>
        <w:ind w:start="360" w:end="0"/>
        <w:jc w:val="both"/>
        <w:rPr/>
      </w:pPr>
      <w:r>
        <w:rPr/>
      </w:r>
    </w:p>
    <w:p>
      <w:pPr>
        <w:pStyle w:val="Normal"/>
        <w:ind w:start="360" w:end="0"/>
        <w:jc w:val="both"/>
        <w:rPr/>
      </w:pPr>
      <w:r>
        <w:rPr/>
        <w:t>Thank you for your help and efforts.</w:t>
      </w:r>
    </w:p>
    <w:p>
      <w:pPr>
        <w:pStyle w:val="Normal"/>
        <w:ind w:start="360" w:end="0"/>
        <w:jc w:val="both"/>
        <w:rPr/>
      </w:pPr>
      <w:r>
        <w:rPr/>
      </w:r>
    </w:p>
    <w:p>
      <w:pPr>
        <w:pStyle w:val="Normal"/>
        <w:ind w:start="360" w:end="0"/>
        <w:jc w:val="both"/>
        <w:rPr/>
      </w:pPr>
      <w:r>
        <w:rPr/>
        <w:t xml:space="preserve">Sincerely, </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Bob Burleson</w:t>
      </w:r>
    </w:p>
    <w:p>
      <w:pPr>
        <w:pStyle w:val="Normal"/>
        <w:ind w:start="360" w:end="0"/>
        <w:jc w:val="both"/>
        <w:rPr/>
      </w:pPr>
      <w:r>
        <w:rPr/>
        <w:t>Account Director</w:t>
      </w:r>
    </w:p>
    <w:p>
      <w:pPr>
        <w:pStyle w:val="Normal"/>
        <w:ind w:start="360" w:end="0"/>
        <w:jc w:val="both"/>
        <w:rPr/>
      </w:pPr>
      <w:r>
        <w:rPr/>
      </w:r>
    </w:p>
    <w:p>
      <w:pPr>
        <w:pStyle w:val="Normal"/>
        <w:ind w:start="360" w:end="0"/>
        <w:jc w:val="both"/>
        <w:rPr/>
      </w:pPr>
      <w:r>
        <w:rPr/>
      </w:r>
    </w:p>
    <w:p>
      <w:pPr>
        <w:pStyle w:val="Normal"/>
        <w:ind w:start="360" w:end="0"/>
        <w:jc w:val="both"/>
        <w:rPr/>
      </w:pPr>
      <w:r>
        <w:rPr/>
      </w:r>
    </w:p>
    <w:p>
      <w:pPr>
        <w:pStyle w:val="Normal"/>
        <w:ind w:start="360" w:end="0"/>
        <w:jc w:val="both"/>
        <w:rPr/>
      </w:pPr>
      <w:r>
        <w:rPr/>
        <w:t xml:space="preserve">EOG Resources </w:t>
      </w:r>
      <w:r>
        <w:rPr>
          <w:b/>
          <w:bCs/>
        </w:rPr>
        <w:t>Marketing, Inc.</w:t>
      </w:r>
    </w:p>
    <w:p>
      <w:pPr>
        <w:pStyle w:val="Normal"/>
        <w:ind w:start="360" w:end="0"/>
        <w:jc w:val="both"/>
        <w:rPr/>
      </w:pPr>
      <w:r>
        <w:rPr/>
      </w:r>
    </w:p>
    <w:p>
      <w:pPr>
        <w:pStyle w:val="Normal"/>
        <w:ind w:start="360" w:end="0"/>
        <w:jc w:val="both"/>
        <w:rPr/>
      </w:pPr>
      <w:r>
        <w:rPr/>
        <w:t>Mark Kraus   _______________________</w:t>
      </w:r>
    </w:p>
    <w:p>
      <w:pPr>
        <w:pStyle w:val="Normal"/>
        <w:ind w:start="360" w:end="0"/>
        <w:jc w:val="both"/>
        <w:rPr/>
      </w:pPr>
      <w:r>
        <w:rPr/>
      </w:r>
    </w:p>
    <w:p>
      <w:pPr>
        <w:pStyle w:val="Normal"/>
        <w:ind w:start="360" w:end="0"/>
        <w:jc w:val="both"/>
        <w:rPr/>
      </w:pPr>
      <w:r>
        <w:rPr/>
        <w:t>Title</w:t>
        <w:tab/>
        <w:t xml:space="preserve">      _______________________</w:t>
      </w:r>
    </w:p>
    <w:p>
      <w:pPr>
        <w:pStyle w:val="Normal"/>
        <w:ind w:start="360" w:end="0"/>
        <w:jc w:val="both"/>
        <w:rPr/>
      </w:pPr>
      <w:r>
        <w:rPr/>
      </w:r>
    </w:p>
    <w:p>
      <w:pPr>
        <w:pStyle w:val="Normal"/>
        <w:ind w:start="360" w:end="0"/>
        <w:jc w:val="both"/>
        <w:rPr/>
      </w:pPr>
      <w:r>
        <w:rPr/>
        <w:t>Date</w:t>
        <w:tab/>
        <w:t xml:space="preserve">      _______________________</w:t>
      </w:r>
    </w:p>
    <w:sectPr>
      <w:type w:val="nextPage"/>
      <w:pgSz w:w="12240" w:h="15840"/>
      <w:pgMar w:left="1800" w:right="1800" w:gutter="0" w:header="0" w:top="1440" w:footer="0" w:bottom="1440"/>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characterSet="windows-1252"/>
    <w:family w:val="roman"/>
    <w:pitch w:val="variable"/>
  </w:font>
  <w:font w:name="Symbol">
    <w:charset w:val="02"/>
    <w:family w:val="roman"/>
    <w:pitch w:val="variable"/>
  </w:font>
  <w:font w:name="Arial">
    <w:charset w:val="00" w:characterSet="windows-1252"/>
    <w:family w:val="swiss"/>
    <w:pitch w:val="variable"/>
  </w:font>
  <w:font w:name="Liberation Serif">
    <w:altName w:val="Times New Roman"/>
    <w:charset w:val="01" w:characterSet="utf-8"/>
    <w:family w:val="roman"/>
    <w:pitch w:val="variable"/>
  </w:font>
  <w:font w:name="Courier New">
    <w:charset w:val="00" w:characterSet="windows-1252"/>
    <w:family w:val="modern"/>
    <w:pitch w:val="default"/>
  </w:font>
  <w:font w:name="Wingdings">
    <w:charset w:val="02"/>
    <w:family w:val="auto"/>
    <w:pitch w:val="variable"/>
  </w:font>
  <w:font w:name="Liberation Sans">
    <w:altName w:val="Arial"/>
    <w:charset w:val="01" w:characterSet="utf-8"/>
    <w:family w:val="swiss"/>
    <w:pitch w:val="variable"/>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pStyle w:val="Heading1"/>
      <w:numFmt w:val="none"/>
      <w:suff w:val="nothing"/>
      <w:lvlText w:val=""/>
      <w:lvlJc w:val="start"/>
      <w:pPr>
        <w:tabs>
          <w:tab w:val="num" w:pos="0"/>
        </w:tabs>
        <w:ind w:start="0" w:hanging="0"/>
      </w:pPr>
    </w:lvl>
    <w:lvl w:ilvl="1">
      <w:start w:val="1"/>
      <w:pStyle w:val="Heading2"/>
      <w:numFmt w:val="none"/>
      <w:suff w:val="nothing"/>
      <w:lvlText w:val=""/>
      <w:lvlJc w:val="start"/>
      <w:pPr>
        <w:tabs>
          <w:tab w:val="num" w:pos="0"/>
        </w:tabs>
        <w:ind w:start="0" w:hanging="0"/>
      </w:pPr>
    </w:lvl>
    <w:lvl w:ilvl="2">
      <w:start w:val="1"/>
      <w:numFmt w:val="none"/>
      <w:suff w:val="nothing"/>
      <w:lvlText w:val=""/>
      <w:lvlJc w:val="start"/>
      <w:pPr>
        <w:tabs>
          <w:tab w:val="num" w:pos="0"/>
        </w:tabs>
        <w:ind w:start="0" w:hanging="0"/>
      </w:pPr>
    </w:lvl>
    <w:lvl w:ilvl="3">
      <w:start w:val="1"/>
      <w:numFmt w:val="none"/>
      <w:suff w:val="nothing"/>
      <w:lvlText w:val=""/>
      <w:lvlJc w:val="start"/>
      <w:pPr>
        <w:tabs>
          <w:tab w:val="num" w:pos="0"/>
        </w:tabs>
        <w:ind w:start="0" w:hanging="0"/>
      </w:pPr>
    </w:lvl>
    <w:lvl w:ilvl="4">
      <w:start w:val="1"/>
      <w:numFmt w:val="none"/>
      <w:suff w:val="nothing"/>
      <w:lvlText w:val=""/>
      <w:lvlJc w:val="start"/>
      <w:pPr>
        <w:tabs>
          <w:tab w:val="num" w:pos="0"/>
        </w:tabs>
        <w:ind w:start="0" w:hanging="0"/>
      </w:pPr>
    </w:lvl>
    <w:lvl w:ilvl="5">
      <w:start w:val="1"/>
      <w:numFmt w:val="none"/>
      <w:suff w:val="nothing"/>
      <w:lvlText w:val=""/>
      <w:lvlJc w:val="start"/>
      <w:pPr>
        <w:tabs>
          <w:tab w:val="num" w:pos="0"/>
        </w:tabs>
        <w:ind w:start="0" w:hanging="0"/>
      </w:pPr>
    </w:lvl>
    <w:lvl w:ilvl="6">
      <w:start w:val="1"/>
      <w:numFmt w:val="none"/>
      <w:suff w:val="nothing"/>
      <w:lvlText w:val=""/>
      <w:lvlJc w:val="start"/>
      <w:pPr>
        <w:tabs>
          <w:tab w:val="num" w:pos="0"/>
        </w:tabs>
        <w:ind w:start="0" w:hanging="0"/>
      </w:pPr>
    </w:lvl>
    <w:lvl w:ilvl="7">
      <w:start w:val="1"/>
      <w:numFmt w:val="none"/>
      <w:suff w:val="nothing"/>
      <w:lvlText w:val=""/>
      <w:lvlJc w:val="start"/>
      <w:pPr>
        <w:tabs>
          <w:tab w:val="num" w:pos="0"/>
        </w:tabs>
        <w:ind w:start="0" w:hanging="0"/>
      </w:pPr>
    </w:lvl>
    <w:lvl w:ilvl="8">
      <w:start w:val="1"/>
      <w:numFmt w:val="none"/>
      <w:suff w:val="nothing"/>
      <w:lvlText w:val=""/>
      <w:lvlJc w:val="start"/>
      <w:pPr>
        <w:tabs>
          <w:tab w:val="num" w:pos="0"/>
        </w:tabs>
        <w:ind w:start="0" w:hanging="0"/>
      </w:pPr>
    </w:lvl>
  </w:abstractNum>
  <w:num w:numId="1">
    <w:abstractNumId w:val="1"/>
  </w:num>
</w:numbering>
</file>

<file path=word/settings.xml><?xml version="1.0" encoding="utf-8"?>
<w:settings xmlns:w="http://schemas.openxmlformats.org/wordprocessingml/2006/main">
  <w:zoom w:percent="100"/>
  <w:defaultTabStop w:val="720"/>
  <w:autoHyphenation w:val="true"/>
  <w:hyphenationZone w:val="0"/>
  <w:compat>
    <w:compatSetting w:name="compatibilityMode" w:uri="http://schemas.microsoft.com/office/word" w:val="11"/>
  </w:compat>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Liberation Serif" w:hAnsi="Liberation Serif" w:eastAsia="Liberation Sans" w:cs="NotoSans NF"/>
        <w:sz w:val="24"/>
        <w:szCs w:val="24"/>
        <w:lang w:val="en-CA" w:eastAsia="zh-CN" w:bidi="hi-IN"/>
      </w:rPr>
    </w:rPrDefault>
    <w:pPrDefault>
      <w:pPr>
        <w:suppressAutoHyphens w:val="true"/>
      </w:pPr>
    </w:pPrDefault>
  </w:docDefaults>
  <w:style w:type="paragraph" w:styleId="Normal">
    <w:name w:val="Normal"/>
    <w:qFormat/>
    <w:pPr>
      <w:widowControl/>
      <w:bidi w:val="0"/>
    </w:pPr>
    <w:rPr>
      <w:rFonts w:ascii="Arial" w:hAnsi="Arial" w:eastAsia="Times New Roman" w:cs="Arial"/>
      <w:color w:val="auto"/>
      <w:sz w:val="22"/>
      <w:szCs w:val="24"/>
      <w:lang w:val="en-US" w:bidi="ar-SA" w:eastAsia="zh-CN"/>
    </w:rPr>
  </w:style>
  <w:style w:type="paragraph" w:styleId="Heading1">
    <w:name w:val="heading 1"/>
    <w:basedOn w:val="Normal"/>
    <w:next w:val="Normal"/>
    <w:qFormat/>
    <w:pPr>
      <w:keepNext w:val="true"/>
      <w:numPr>
        <w:ilvl w:val="0"/>
        <w:numId w:val="1"/>
      </w:numPr>
      <w:ind w:firstLine="720" w:start="0" w:end="0"/>
      <w:outlineLvl w:val="0"/>
    </w:pPr>
    <w:rPr>
      <w:b/>
      <w:bCs/>
    </w:rPr>
  </w:style>
  <w:style w:type="paragraph" w:styleId="Heading2">
    <w:name w:val="heading 2"/>
    <w:basedOn w:val="Normal"/>
    <w:next w:val="Normal"/>
    <w:qFormat/>
    <w:pPr>
      <w:keepNext w:val="true"/>
      <w:numPr>
        <w:ilvl w:val="1"/>
        <w:numId w:val="1"/>
      </w:numPr>
      <w:ind w:firstLine="360" w:start="360" w:end="0"/>
      <w:jc w:val="both"/>
      <w:outlineLvl w:val="1"/>
    </w:pPr>
    <w:rPr>
      <w:b/>
      <w:bCs/>
    </w:rPr>
  </w:style>
  <w:style w:type="character" w:styleId="WW8Num1z0">
    <w:name w:val="WW8Num1z0"/>
    <w:qFormat/>
    <w:rPr>
      <w:rFonts w:ascii="Symbol" w:hAnsi="Symbol" w:cs="Symbol"/>
    </w:rPr>
  </w:style>
  <w:style w:type="character" w:styleId="WW8Num1z1">
    <w:name w:val="WW8Num1z1"/>
    <w:qFormat/>
    <w:rPr>
      <w:rFonts w:ascii="Courier New" w:hAnsi="Courier New" w:cs="Courier New"/>
    </w:rPr>
  </w:style>
  <w:style w:type="character" w:styleId="WW8Num1z2">
    <w:name w:val="WW8Num1z2"/>
    <w:qFormat/>
    <w:rPr>
      <w:rFonts w:ascii="Wingdings" w:hAnsi="Wingdings" w:cs="Wingdings"/>
    </w:rPr>
  </w:style>
  <w:style w:type="character" w:styleId="WW8Num2z0">
    <w:name w:val="WW8Num2z0"/>
    <w:qFormat/>
    <w:rPr>
      <w:rFonts w:ascii="Symbol" w:hAnsi="Symbol" w:cs="Symbol"/>
    </w:rPr>
  </w:style>
  <w:style w:type="character" w:styleId="WW8Num2z1">
    <w:name w:val="WW8Num2z1"/>
    <w:qFormat/>
    <w:rPr>
      <w:rFonts w:ascii="Courier New" w:hAnsi="Courier New" w:cs="Courier New"/>
    </w:rPr>
  </w:style>
  <w:style w:type="character" w:styleId="WW8Num2z2">
    <w:name w:val="WW8Num2z2"/>
    <w:qFormat/>
    <w:rPr>
      <w:rFonts w:ascii="Wingdings" w:hAnsi="Wingdings" w:cs="Wingdings"/>
    </w:rPr>
  </w:style>
  <w:style w:type="character" w:styleId="WW8Num3z0">
    <w:name w:val="WW8Num3z0"/>
    <w:qFormat/>
    <w:rPr>
      <w:rFonts w:ascii="Symbol" w:hAnsi="Symbol" w:cs="Symbol"/>
    </w:rPr>
  </w:style>
  <w:style w:type="character" w:styleId="WW8Num3z1">
    <w:name w:val="WW8Num3z1"/>
    <w:qFormat/>
    <w:rPr>
      <w:rFonts w:ascii="Courier New" w:hAnsi="Courier New" w:cs="Courier New"/>
    </w:rPr>
  </w:style>
  <w:style w:type="character" w:styleId="WW8Num3z2">
    <w:name w:val="WW8Num3z2"/>
    <w:qFormat/>
    <w:rPr>
      <w:rFonts w:ascii="Wingdings" w:hAnsi="Wingdings" w:cs="Wingdings"/>
    </w:rPr>
  </w:style>
  <w:style w:type="character" w:styleId="DefaultParagraphFont">
    <w:name w:val="Default Paragraph Font"/>
    <w:qFormat/>
    <w:rPr/>
  </w:style>
  <w:style w:type="paragraph" w:styleId="Heading">
    <w:name w:val="Heading"/>
    <w:basedOn w:val="Normal"/>
    <w:next w:val="BodyText"/>
    <w:qFormat/>
    <w:pPr>
      <w:keepNext w:val="true"/>
      <w:spacing w:before="240" w:after="120"/>
    </w:pPr>
    <w:rPr>
      <w:rFonts w:ascii="Liberation Sans" w:hAnsi="Liberation Sans" w:eastAsia="Liberation Sans" w:cs="NotoSans NF"/>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cs="NotoSans NF"/>
    </w:rPr>
  </w:style>
  <w:style w:type="paragraph" w:styleId="Caption">
    <w:name w:val="caption"/>
    <w:basedOn w:val="Normal"/>
    <w:qFormat/>
    <w:pPr>
      <w:suppressLineNumbers/>
      <w:spacing w:before="120" w:after="120"/>
    </w:pPr>
    <w:rPr>
      <w:rFonts w:cs="NotoSans NF"/>
      <w:i/>
      <w:iCs/>
      <w:sz w:val="24"/>
      <w:szCs w:val="24"/>
    </w:rPr>
  </w:style>
  <w:style w:type="paragraph" w:styleId="Index">
    <w:name w:val="Index"/>
    <w:basedOn w:val="Normal"/>
    <w:qFormat/>
    <w:pPr>
      <w:suppressLineNumbers/>
    </w:pPr>
    <w:rPr>
      <w:rFonts w:cs="NotoSans NF"/>
    </w:rPr>
  </w:style>
  <w:style w:type="paragraph" w:styleId="BodyTextIndent">
    <w:name w:val="Body Text Indent"/>
    <w:basedOn w:val="Normal"/>
    <w:pPr>
      <w:ind w:hanging="0" w:start="360" w:end="0"/>
      <w:jc w:val="both"/>
    </w:pPr>
    <w:rPr/>
  </w:style>
  <w:style w:type="numbering" w:styleId="WW8Num1">
    <w:name w:val="WW8Num1"/>
    <w:qFormat/>
  </w:style>
  <w:style w:type="numbering" w:styleId="WW8Num2">
    <w:name w:val="WW8Num2"/>
    <w:qFormat/>
  </w:style>
  <w:style w:type="numbering" w:styleId="WW8Num3">
    <w:name w:val="WW8Num3"/>
    <w:qFormat/>
  </w:style>
  <w:style w:type="numbering" w:styleId="WW8Num4">
    <w:name w:val="WW8Num4"/>
    <w:qFormat/>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Offic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pitchFamily="0" charset="1"/>
        <a:ea typeface="DejaVu Sans" pitchFamily="0" charset="1"/>
        <a:cs typeface="DejaVu Sans" pitchFamily="0" charset="1"/>
      </a:majorFont>
      <a:minorFont>
        <a:latin typeface="Arial" pitchFamily="0" charset="1"/>
        <a:ea typeface="DejaVu Sans" pitchFamily="0" charset="1"/>
        <a:cs typeface="DejaVu Sans" pitchFamily="0" charset="1"/>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theme>
</file>

<file path=docProps/app.xml><?xml version="1.0" encoding="utf-8"?>
<Properties xmlns="http://schemas.openxmlformats.org/officeDocument/2006/extended-properties" xmlns:vt="http://schemas.openxmlformats.org/officeDocument/2006/docPropsVTypes">
  <Template>Normal.dot</Template>
  <TotalTime>2</TotalTime>
  <Application>LibreOffice/25.2.7.0.0$Linux_X86_64 LibreOffice_project/2cc84caafd2707671cae2773f8085721f003b89f</Application>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2001-08-10T18:20:00Z</dcterms:created>
  <dc:creator>Trigon-Sheehan, LLC</dc:creator>
  <dc:description/>
  <dc:language>en-CA</dc:language>
  <cp:lastModifiedBy>EOG</cp:lastModifiedBy>
  <cp:lastPrinted>2001-08-03T10:52:00Z</cp:lastPrinted>
  <dcterms:modified xsi:type="dcterms:W3CDTF">2001-08-10T18:20:00Z</dcterms:modified>
  <cp:revision>2</cp:revision>
  <dc:subject/>
  <dc:title>July 24, 2001</dc:title>
</cp:coreProperties>
</file>