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u w:val="single"/>
        </w:rPr>
        <w:t>SETTLEMENT AND RELEASE AGREEMENT</w:t>
      </w:r>
    </w:p>
    <w:p>
      <w:pPr>
        <w:pStyle w:val="Normal"/>
        <w:jc w:val="center"/>
        <w:rPr>
          <w:b/>
        </w:rPr>
      </w:pPr>
      <w:r>
        <w:rPr>
          <w:b/>
        </w:rPr>
        <w:t>(Westfield #1)</w:t>
      </w:r>
    </w:p>
    <w:p>
      <w:pPr>
        <w:pStyle w:val="Normal"/>
        <w:rPr>
          <w:b/>
        </w:rPr>
      </w:pPr>
      <w:r>
        <w:rPr>
          <w:b/>
        </w:rPr>
      </w:r>
    </w:p>
    <w:p>
      <w:pPr>
        <w:pStyle w:val="Normal"/>
        <w:rPr/>
      </w:pPr>
      <w:r>
        <w:rPr/>
        <w:tab/>
        <w:t>This Settlement and Release Agreement (this "</w:t>
      </w:r>
      <w:r>
        <w:rPr>
          <w:u w:val="single"/>
        </w:rPr>
        <w:t>Agreement</w:t>
      </w:r>
      <w:r>
        <w:rPr/>
        <w:t>") executed by Enron Oil &amp; Gas Company, a Delaware corporation ("</w:t>
      </w:r>
      <w:r>
        <w:rPr>
          <w:u w:val="single"/>
        </w:rPr>
        <w:t>EOG</w:t>
      </w:r>
      <w:r>
        <w:rPr/>
        <w:t>") and Houston Pipe Line Company, a Delaware corporation ("</w:t>
      </w:r>
      <w:r>
        <w:rPr>
          <w:u w:val="single"/>
        </w:rPr>
        <w:t>HPL</w:t>
      </w:r>
      <w:r>
        <w:rPr/>
        <w:t>") is effective as of the ___th day of August, 1999.</w:t>
      </w:r>
    </w:p>
    <w:p>
      <w:pPr>
        <w:pStyle w:val="Normal"/>
        <w:rPr/>
      </w:pPr>
      <w:r>
        <w:rPr/>
      </w:r>
    </w:p>
    <w:p>
      <w:pPr>
        <w:pStyle w:val="Normal"/>
        <w:tabs>
          <w:tab w:val="left" w:pos="720" w:leader="none"/>
        </w:tabs>
        <w:rPr/>
      </w:pPr>
      <w:r>
        <w:rPr/>
        <w:tab/>
        <w:t>WHEREAS, EOG and HPL previously entered into that certain letter agreement concerning the Facilities and Sites for Interconnect of HPL's Pipeline to EOG's Westfield #1 Well, Harris County, Texas and Related Measurement Operations dated May 4, 1998 (the "</w:t>
      </w:r>
      <w:r>
        <w:rPr>
          <w:u w:val="single"/>
        </w:rPr>
        <w:t>Letter Agreement</w:t>
      </w:r>
      <w:r>
        <w:rPr/>
        <w:t>") governing the installation and construction of certain pipeline facilities (the "</w:t>
      </w:r>
      <w:r>
        <w:rPr>
          <w:u w:val="single"/>
        </w:rPr>
        <w:t>Work</w:t>
      </w:r>
      <w:r>
        <w:rPr/>
        <w:t>").</w:t>
      </w:r>
    </w:p>
    <w:p>
      <w:pPr>
        <w:pStyle w:val="Normal"/>
        <w:tabs>
          <w:tab w:val="left" w:pos="720" w:leader="none"/>
        </w:tabs>
        <w:ind w:hanging="1440" w:start="1440" w:end="0"/>
        <w:rPr/>
      </w:pPr>
      <w:r>
        <w:rPr/>
      </w:r>
    </w:p>
    <w:p>
      <w:pPr>
        <w:pStyle w:val="Normal"/>
        <w:rPr/>
      </w:pPr>
      <w:r>
        <w:rPr/>
        <w:tab/>
        <w:t>WHEREAS, EOG and HPL have reached agreement resolving certain claims of EOG concerning the invoice submitted by HPL to EOG (the "</w:t>
      </w:r>
      <w:r>
        <w:rPr>
          <w:u w:val="single"/>
        </w:rPr>
        <w:t>Invoice</w:t>
      </w:r>
      <w:r>
        <w:rPr/>
        <w:t>") for the Work pursuant to the terms of the Letter Agreement.</w:t>
      </w:r>
    </w:p>
    <w:p>
      <w:pPr>
        <w:pStyle w:val="Normal"/>
        <w:rPr/>
      </w:pPr>
      <w:r>
        <w:rPr/>
      </w:r>
    </w:p>
    <w:p>
      <w:pPr>
        <w:pStyle w:val="Normal"/>
        <w:rPr/>
      </w:pPr>
      <w:r>
        <w:rPr/>
        <w:tab/>
        <w:t>NOW, THEREFORE, in consideration of the mutual promises and covenants herein contained and the adjustment by HPL of the Invoice for the Work performed under the letter agreement, which such revised Invoice (the "</w:t>
      </w:r>
      <w:r>
        <w:rPr>
          <w:u w:val="single"/>
        </w:rPr>
        <w:t>Revised Invoice</w:t>
      </w:r>
      <w:r>
        <w:rPr/>
        <w:t>") is attached hereto as Exhibit "A"  (collectively, the "</w:t>
      </w:r>
      <w:r>
        <w:rPr>
          <w:u w:val="single"/>
        </w:rPr>
        <w:t>Consideration</w:t>
      </w:r>
      <w:r>
        <w:rPr/>
        <w:t>"), the receipt and sufficiency of which are hereby expressly acknowledged by EOG and HPL, the parties do hereby agree as follows:</w:t>
      </w:r>
    </w:p>
    <w:p>
      <w:pPr>
        <w:pStyle w:val="Normal"/>
        <w:rPr/>
      </w:pPr>
      <w:r>
        <w:rPr/>
      </w:r>
    </w:p>
    <w:p>
      <w:pPr>
        <w:pStyle w:val="Normal"/>
        <w:rPr/>
      </w:pPr>
      <w:r>
        <w:rPr/>
        <w:t>1.</w:t>
        <w:tab/>
        <w:t xml:space="preserve">EOG and HPL agree that the Invoice shall be reduced by following amounts: </w:t>
      </w:r>
    </w:p>
    <w:p>
      <w:pPr>
        <w:pStyle w:val="Normal"/>
        <w:rPr/>
      </w:pPr>
      <w:r>
        <w:rPr/>
      </w:r>
    </w:p>
    <w:p>
      <w:pPr>
        <w:pStyle w:val="Normal"/>
        <w:ind w:hanging="360" w:start="1440" w:end="0"/>
        <w:rPr/>
      </w:pPr>
      <w:r>
        <w:rPr/>
        <w:t>A.</w:t>
        <w:tab/>
        <w:t>$56,679 to reflect the cost of installation of a 4-inch diameter pipeline, instead of a 6-inch diameter pipeline.</w:t>
      </w:r>
    </w:p>
    <w:p>
      <w:pPr>
        <w:pStyle w:val="Normal"/>
        <w:rPr/>
      </w:pPr>
      <w:r>
        <w:rPr/>
      </w:r>
    </w:p>
    <w:p>
      <w:pPr>
        <w:pStyle w:val="Normal"/>
        <w:ind w:hanging="360" w:start="1440" w:end="0"/>
        <w:rPr/>
      </w:pPr>
      <w:r>
        <w:rPr/>
        <w:t>B.</w:t>
        <w:tab/>
        <w:t xml:space="preserve">$26,300 to remove the payroll charges for Gulf Coast Operations personnel. </w:t>
      </w:r>
    </w:p>
    <w:p>
      <w:pPr>
        <w:pStyle w:val="Normal"/>
        <w:rPr/>
      </w:pPr>
      <w:r>
        <w:rPr/>
      </w:r>
    </w:p>
    <w:p>
      <w:pPr>
        <w:pStyle w:val="Normal"/>
        <w:ind w:hanging="360" w:start="1440" w:end="0"/>
        <w:rPr/>
      </w:pPr>
      <w:r>
        <w:rPr/>
        <w:t>C.</w:t>
        <w:tab/>
        <w:t>$40,587 to remove overhead/indirect charges for HPL's right-of-way agents in the Operational Technical Services organization.</w:t>
      </w:r>
    </w:p>
    <w:p>
      <w:pPr>
        <w:pStyle w:val="Normal"/>
        <w:rPr/>
      </w:pPr>
      <w:r>
        <w:rPr/>
      </w:r>
    </w:p>
    <w:p>
      <w:pPr>
        <w:pStyle w:val="Normal"/>
        <w:rPr/>
      </w:pPr>
      <w:r>
        <w:rPr/>
        <w:t>2.</w:t>
        <w:tab/>
        <w:t>EOG and HPL agree that the total reduction of $123,566 to the Invoice for the items in Paragraph 1 of this Agreement are correctly reflected in the Revised Invoice.  EOG shall pay the amount of the Revised Invoice within 30 days of execution of this Agreement.</w:t>
      </w:r>
    </w:p>
    <w:p>
      <w:pPr>
        <w:pStyle w:val="Normal"/>
        <w:rPr/>
      </w:pPr>
      <w:r>
        <w:rPr/>
      </w:r>
    </w:p>
    <w:p>
      <w:pPr>
        <w:pStyle w:val="Normal"/>
        <w:rPr/>
      </w:pPr>
      <w:r>
        <w:rPr/>
        <w:t>3.  EOG does hereby FULLY AND FINALLY RELEASE, DISCHARGE, and FOREVER ACQUIT HPL, and its assigns, insurers, officers, directors, employees, agents and attorneys from any liability, obligation, claim or cause or right of action, known or unknown, foreseen or unforeseen, arising from the Invoice or any payments for the Work performed under the Letter Agreement (the "</w:t>
      </w:r>
      <w:r>
        <w:rPr>
          <w:u w:val="single"/>
        </w:rPr>
        <w:t>Claims</w:t>
      </w:r>
      <w:r>
        <w:rPr/>
        <w:t>").  This Agreement shall constitute a full and final release of all of the Claims against HPL by EOG.</w:t>
      </w:r>
    </w:p>
    <w:p>
      <w:pPr>
        <w:pStyle w:val="Normal"/>
        <w:rPr/>
      </w:pPr>
      <w:r>
        <w:rPr/>
      </w:r>
    </w:p>
    <w:p>
      <w:pPr>
        <w:pStyle w:val="Normal"/>
        <w:rPr/>
      </w:pPr>
      <w:r>
        <w:rPr/>
        <w:t>4.  This Agreement contains the entire agreement between HPL and EOG concerning the subject matter hereof and shall be governed by the laws of the State of Texas.  Any modifications concerning this Agreement shall be of no force or effect unless in writing, executed by the parties to be charged.</w:t>
      </w:r>
    </w:p>
    <w:p>
      <w:pPr>
        <w:pStyle w:val="Normal"/>
        <w:rPr/>
      </w:pPr>
      <w:r>
        <w:rPr/>
      </w:r>
    </w:p>
    <w:p>
      <w:pPr>
        <w:pStyle w:val="Normal"/>
        <w:rPr/>
      </w:pPr>
      <w:r>
        <w:rPr/>
        <w:tab/>
        <w:t>IN WITNESS WHEREOF, we have executed this Agreement in multiple originals effective as of the date set forth above.</w:t>
      </w:r>
    </w:p>
    <w:p>
      <w:pPr>
        <w:pStyle w:val="Normal"/>
        <w:rPr/>
      </w:pPr>
      <w:r>
        <w:rPr/>
      </w:r>
    </w:p>
    <w:p>
      <w:pPr>
        <w:pStyle w:val="Normal"/>
        <w:rPr/>
      </w:pPr>
      <w:r>
        <w:rPr/>
      </w:r>
    </w:p>
    <w:p>
      <w:pPr>
        <w:pStyle w:val="Normal"/>
        <w:tabs>
          <w:tab w:val="clear" w:pos="720"/>
          <w:tab w:val="left" w:pos="3600" w:leader="none"/>
        </w:tabs>
        <w:rPr>
          <w:b/>
        </w:rPr>
      </w:pPr>
      <w:r>
        <w:rPr>
          <w:b/>
        </w:rPr>
        <w:tab/>
        <w:t>ENRON OIL &amp; GAS COMPANY</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600" w:leader="none"/>
        </w:tabs>
        <w:rPr>
          <w:u w:val="single"/>
        </w:rPr>
      </w:pPr>
      <w:r>
        <w:rPr>
          <w:u w:val="single"/>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b/>
        </w:rPr>
      </w:pPr>
      <w:r>
        <w:rPr>
          <w:b/>
        </w:rPr>
        <w:tab/>
        <w:t>HOUSTON PIPE LINE COMPANY</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960" w:leader="none"/>
        </w:tabs>
        <w:rPr>
          <w:u w:val="single"/>
        </w:rPr>
      </w:pPr>
      <w:r>
        <w:rPr/>
        <w:tab/>
      </w:r>
    </w:p>
    <w:p>
      <w:pPr>
        <w:pStyle w:val="Normal"/>
        <w:tabs>
          <w:tab w:val="clear" w:pos="720"/>
          <w:tab w:val="left" w:pos="3960" w:leader="none"/>
        </w:tabs>
        <w:jc w:val="center"/>
        <w:rPr>
          <w:u w:val="single"/>
        </w:rPr>
      </w:pPr>
      <w:r>
        <w:rPr>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rPr>
      <w:t>O:\legal\gnemec\</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EOG_Release.DOC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1999-08-13T12:05:00Z</dcterms:created>
  <dc:creator>Renee H. Ingram</dc:creator>
  <dc:description/>
  <dc:language>en-CA</dc:language>
  <cp:lastModifiedBy>gnemec</cp:lastModifiedBy>
  <cp:lastPrinted>1999-08-13T14:24:00Z</cp:lastPrinted>
  <dcterms:modified xsi:type="dcterms:W3CDTF">1999-08-13T16:56:00Z</dcterms:modified>
  <cp:revision>21</cp:revision>
  <dc:subject/>
  <dc:title>RELEASE AGREEMENT</dc:title>
</cp:coreProperties>
</file>