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/>
        <w:t>ENOM – Initial Use Case Definition</w:t>
      </w:r>
    </w:p>
    <w:p>
      <w:pPr>
        <w:pStyle w:val="Normal"/>
        <w:rPr/>
      </w:pPr>
      <w:r>
        <w:rPr/>
        <w:t>Wednesday February 2, 2000</w:t>
      </w:r>
    </w:p>
    <w:p>
      <w:pPr>
        <w:pStyle w:val="Heading2"/>
        <w:ind w:hanging="0" w:start="0"/>
        <w:rPr/>
      </w:pPr>
      <w:r>
        <w:rPr/>
        <w:t>System Goal</w:t>
      </w:r>
    </w:p>
    <w:p>
      <w:pPr>
        <w:pStyle w:val="Normal"/>
        <w:rPr/>
      </w:pPr>
      <w:r>
        <w:rPr/>
        <w:t>Allow counterparties to enter and view nomination information over the Web.</w:t>
      </w:r>
    </w:p>
    <w:p>
      <w:pPr>
        <w:pStyle w:val="Heading3"/>
        <w:ind w:hanging="0" w:start="0"/>
        <w:rPr/>
      </w:pPr>
      <w:r>
        <w:rPr/>
        <w:t>Wins</w:t>
      </w:r>
    </w:p>
    <w:p>
      <w:pPr>
        <w:pStyle w:val="Normal"/>
        <w:rPr/>
      </w:pPr>
      <w:r>
        <w:rPr/>
        <w:t xml:space="preserve">Tangible: </w:t>
        <w:tab/>
        <w:t>Extend EOL trading hours, and drive more business to Enron</w:t>
      </w:r>
    </w:p>
    <w:p>
      <w:pPr>
        <w:pStyle w:val="Normal"/>
        <w:rPr/>
      </w:pPr>
      <w:r>
        <w:rPr/>
        <w:t>Intangible:</w:t>
        <w:tab/>
        <w:t>Save time for both Enron and counterparties</w:t>
      </w:r>
    </w:p>
    <w:p>
      <w:pPr>
        <w:pStyle w:val="Normal"/>
        <w:ind w:firstLine="720" w:start="720" w:end="0"/>
        <w:rPr/>
      </w:pPr>
      <w:r>
        <w:rPr/>
        <w:t>Improved data accuracy – customer can see that it is correct</w:t>
      </w:r>
    </w:p>
    <w:p>
      <w:pPr>
        <w:pStyle w:val="Heading3"/>
        <w:ind w:hanging="0" w:start="0"/>
        <w:rPr/>
      </w:pPr>
      <w:r>
        <w:rPr/>
        <w:t>Users</w:t>
      </w:r>
    </w:p>
    <w:p>
      <w:pPr>
        <w:pStyle w:val="Normal"/>
        <w:numPr>
          <w:ilvl w:val="0"/>
          <w:numId w:val="6"/>
        </w:numPr>
        <w:rPr/>
      </w:pPr>
      <w:r>
        <w:rPr/>
        <w:t>EOL physical trade customers + anyone else</w:t>
      </w:r>
    </w:p>
    <w:p>
      <w:pPr>
        <w:pStyle w:val="Normal"/>
        <w:numPr>
          <w:ilvl w:val="0"/>
          <w:numId w:val="6"/>
        </w:numPr>
        <w:rPr/>
      </w:pPr>
      <w:r>
        <w:rPr/>
        <w:t>About 1,000 potential users</w:t>
      </w:r>
    </w:p>
    <w:p>
      <w:pPr>
        <w:pStyle w:val="Normal"/>
        <w:numPr>
          <w:ilvl w:val="0"/>
          <w:numId w:val="6"/>
        </w:numPr>
        <w:rPr/>
      </w:pPr>
      <w:r>
        <w:rPr/>
        <w:t>All levels of sophistication</w:t>
      </w:r>
    </w:p>
    <w:p>
      <w:pPr>
        <w:pStyle w:val="Normal"/>
        <w:numPr>
          <w:ilvl w:val="0"/>
          <w:numId w:val="6"/>
        </w:numPr>
        <w:rPr/>
      </w:pPr>
      <w:r>
        <w:rPr/>
        <w:t>Profile of Use: Log in during the morning.  Access periodically throughout day, more during peak trading periods.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Key Features</w:t>
      </w:r>
    </w:p>
    <w:p>
      <w:pPr>
        <w:pStyle w:val="Normal"/>
        <w:rPr/>
      </w:pPr>
      <w:r>
        <w:rPr/>
        <w:t>These will become our starting point for high-level use cases:</w:t>
      </w:r>
    </w:p>
    <w:p>
      <w:pPr>
        <w:pStyle w:val="Heading3"/>
        <w:ind w:hanging="0" w:start="0"/>
        <w:rPr/>
      </w:pPr>
      <w:r>
        <w:rPr/>
        <w:t>View All Transactions</w:t>
      </w:r>
    </w:p>
    <w:p>
      <w:pPr>
        <w:pStyle w:val="Normal"/>
        <w:numPr>
          <w:ilvl w:val="0"/>
          <w:numId w:val="4"/>
        </w:numPr>
        <w:rPr/>
      </w:pPr>
      <w:r>
        <w:rPr/>
        <w:t>Allow counterparties to see all transactions at a point for upcoming day (almost always dealing with next day, except possibly weekends)</w:t>
      </w:r>
    </w:p>
    <w:p>
      <w:pPr>
        <w:pStyle w:val="Normal"/>
        <w:numPr>
          <w:ilvl w:val="0"/>
          <w:numId w:val="4"/>
        </w:numPr>
        <w:rPr/>
      </w:pPr>
      <w:r>
        <w:rPr/>
        <w:t>For Day or other period</w:t>
      </w:r>
    </w:p>
    <w:p>
      <w:pPr>
        <w:pStyle w:val="Normal"/>
        <w:numPr>
          <w:ilvl w:val="0"/>
          <w:numId w:val="4"/>
        </w:numPr>
        <w:rPr/>
      </w:pPr>
      <w:r>
        <w:rPr/>
        <w:t>By Pipeline, region, other criteria</w:t>
      </w:r>
    </w:p>
    <w:p>
      <w:pPr>
        <w:pStyle w:val="Normal"/>
        <w:numPr>
          <w:ilvl w:val="0"/>
          <w:numId w:val="4"/>
        </w:numPr>
        <w:rPr/>
      </w:pPr>
      <w:r>
        <w:rPr/>
        <w:t>Viewing of information should be unlimited</w:t>
      </w:r>
    </w:p>
    <w:p>
      <w:pPr>
        <w:pStyle w:val="Normal"/>
        <w:numPr>
          <w:ilvl w:val="0"/>
          <w:numId w:val="4"/>
        </w:numPr>
        <w:rPr/>
      </w:pPr>
      <w:r>
        <w:rPr/>
        <w:t>Our internal deal number is not relevant – keys are location, date, and price</w:t>
      </w:r>
    </w:p>
    <w:p>
      <w:pPr>
        <w:pStyle w:val="Heading3"/>
        <w:ind w:hanging="0" w:start="0"/>
        <w:rPr/>
      </w:pPr>
      <w:r>
        <w:rPr/>
        <w:t>Administration</w:t>
      </w:r>
    </w:p>
    <w:p>
      <w:pPr>
        <w:pStyle w:val="Normal"/>
        <w:numPr>
          <w:ilvl w:val="0"/>
          <w:numId w:val="7"/>
        </w:numPr>
        <w:rPr/>
      </w:pPr>
      <w:r>
        <w:rPr/>
        <w:t>Add/maintain users</w:t>
      </w:r>
    </w:p>
    <w:p>
      <w:pPr>
        <w:pStyle w:val="Normal"/>
        <w:numPr>
          <w:ilvl w:val="0"/>
          <w:numId w:val="7"/>
        </w:numPr>
        <w:rPr/>
      </w:pPr>
      <w:r>
        <w:rPr/>
        <w:t>Restrict access to pipeline/region (default: all regions)</w:t>
      </w:r>
    </w:p>
    <w:p>
      <w:pPr>
        <w:pStyle w:val="Heading3"/>
        <w:ind w:hanging="0" w:start="0"/>
        <w:rPr/>
      </w:pPr>
      <w:r>
        <w:rPr/>
        <w:t>Import/Edit Nomination Information</w:t>
      </w:r>
    </w:p>
    <w:p>
      <w:pPr>
        <w:pStyle w:val="Normal"/>
        <w:numPr>
          <w:ilvl w:val="0"/>
          <w:numId w:val="3"/>
        </w:numPr>
        <w:rPr/>
      </w:pPr>
      <w:r>
        <w:rPr/>
        <w:t>Key Data: Upstream/Downstream contracts</w:t>
      </w:r>
    </w:p>
    <w:p>
      <w:pPr>
        <w:pStyle w:val="Normal"/>
        <w:numPr>
          <w:ilvl w:val="0"/>
          <w:numId w:val="3"/>
        </w:numPr>
        <w:rPr/>
      </w:pPr>
      <w:r>
        <w:rPr/>
        <w:t>By Zone, By Meter</w:t>
      </w:r>
    </w:p>
    <w:p>
      <w:pPr>
        <w:pStyle w:val="Normal"/>
        <w:numPr>
          <w:ilvl w:val="0"/>
          <w:numId w:val="3"/>
        </w:numPr>
        <w:rPr/>
      </w:pPr>
      <w:r>
        <w:rPr/>
        <w:t>Change information and add more (split/collapse lines)</w:t>
      </w:r>
    </w:p>
    <w:p>
      <w:pPr>
        <w:pStyle w:val="Normal"/>
        <w:numPr>
          <w:ilvl w:val="0"/>
          <w:numId w:val="3"/>
        </w:numPr>
        <w:rPr/>
      </w:pPr>
      <w:r>
        <w:rPr/>
        <w:t>Default through end of month, unless customer changes</w:t>
      </w:r>
    </w:p>
    <w:p>
      <w:pPr>
        <w:pStyle w:val="Heading3"/>
        <w:ind w:hanging="0" w:start="0"/>
        <w:rPr/>
      </w:pPr>
      <w:r>
        <w:rPr/>
        <w:t>Enter/Update Meter</w:t>
      </w:r>
    </w:p>
    <w:p>
      <w:pPr>
        <w:pStyle w:val="Heading3"/>
        <w:ind w:hanging="0" w:start="0"/>
        <w:rPr/>
      </w:pPr>
      <w:r>
        <w:rPr/>
        <w:t>Export/Print</w:t>
      </w:r>
    </w:p>
    <w:p>
      <w:pPr>
        <w:pStyle w:val="Normal"/>
        <w:numPr>
          <w:ilvl w:val="0"/>
          <w:numId w:val="8"/>
        </w:numPr>
        <w:rPr/>
      </w:pPr>
      <w:r>
        <w:rPr/>
        <w:t>“</w:t>
      </w:r>
      <w:r>
        <w:rPr/>
        <w:t>Everything” – export to Excel, print to local printer</w:t>
      </w:r>
    </w:p>
    <w:p>
      <w:pPr>
        <w:pStyle w:val="Heading3"/>
        <w:ind w:hanging="0" w:start="0"/>
        <w:rPr/>
      </w:pPr>
      <w:r>
        <w:rPr/>
        <w:t>Other Possible Features</w:t>
      </w:r>
    </w:p>
    <w:p>
      <w:pPr>
        <w:pStyle w:val="Normal"/>
        <w:numPr>
          <w:ilvl w:val="0"/>
          <w:numId w:val="9"/>
        </w:numPr>
        <w:rPr/>
      </w:pPr>
      <w:r>
        <w:rPr/>
        <w:t>Potential monthly invoice or running total</w:t>
      </w:r>
    </w:p>
    <w:p>
      <w:pPr>
        <w:pStyle w:val="Normal"/>
        <w:numPr>
          <w:ilvl w:val="0"/>
          <w:numId w:val="9"/>
        </w:numPr>
        <w:rPr/>
      </w:pPr>
      <w:r>
        <w:rPr/>
        <w:t>Actual data (actual flow?)</w:t>
      </w:r>
    </w:p>
    <w:p>
      <w:pPr>
        <w:pStyle w:val="Normal"/>
        <w:numPr>
          <w:ilvl w:val="0"/>
          <w:numId w:val="9"/>
        </w:numPr>
        <w:rPr/>
      </w:pPr>
      <w:r>
        <w:rPr/>
        <w:t>Report by customer's counterparty, if available</w:t>
        <w:br/>
        <w:t>Will they make that information available?  Customer-defined attributes</w:t>
      </w:r>
    </w:p>
    <w:p>
      <w:pPr>
        <w:pStyle w:val="Normal"/>
        <w:numPr>
          <w:ilvl w:val="0"/>
          <w:numId w:val="9"/>
        </w:numPr>
        <w:rPr/>
      </w:pPr>
      <w:r>
        <w:rPr/>
        <w:t>Confirmed information from pipelines</w:t>
      </w:r>
    </w:p>
    <w:p>
      <w:pPr>
        <w:pStyle w:val="Normal"/>
        <w:numPr>
          <w:ilvl w:val="0"/>
          <w:numId w:val="9"/>
        </w:numPr>
        <w:rPr/>
      </w:pPr>
      <w:r>
        <w:rPr/>
        <w:t>Value-added information: Contact info, Calendar, On-call schedule</w:t>
        <w:br/>
        <w:t>Links to pipeline sites</w:t>
      </w:r>
    </w:p>
    <w:p>
      <w:pPr>
        <w:pStyle w:val="Heading2"/>
        <w:ind w:hanging="0" w:start="0"/>
        <w:rPr/>
      </w:pPr>
      <w:r>
        <w:rPr/>
        <w:t>Open Questions</w:t>
      </w:r>
    </w:p>
    <w:p>
      <w:pPr>
        <w:pStyle w:val="Normal"/>
        <w:numPr>
          <w:ilvl w:val="0"/>
          <w:numId w:val="5"/>
        </w:numPr>
        <w:rPr/>
      </w:pPr>
      <w:r>
        <w:rPr/>
        <w:t>Will we have our reference numbers available for customers when they come in?</w:t>
        <w:br/>
        <w:t>- Depends on contract/point</w:t>
        <w:br/>
        <w:t>- MMAS, OPAL (?) not available</w:t>
      </w:r>
    </w:p>
    <w:p>
      <w:pPr>
        <w:pStyle w:val="Normal"/>
        <w:numPr>
          <w:ilvl w:val="0"/>
          <w:numId w:val="5"/>
        </w:numPr>
        <w:rPr/>
      </w:pPr>
      <w:r>
        <w:rPr/>
        <w:t>How to deal with ownership of data if there is a data conflict between Enron and counterparty (e.g., both parties change data in sequence)?</w:t>
        <w:br/>
        <w:t>– We will have to detail the possible scenarios.</w:t>
      </w:r>
    </w:p>
    <w:p>
      <w:pPr>
        <w:pStyle w:val="Normal"/>
        <w:numPr>
          <w:ilvl w:val="0"/>
          <w:numId w:val="5"/>
        </w:numPr>
        <w:rPr/>
      </w:pPr>
      <w:r>
        <w:rPr/>
        <w:t>Can customers use system on all cycles?</w:t>
      </w:r>
    </w:p>
    <w:p>
      <w:pPr>
        <w:pStyle w:val="Normal"/>
        <w:numPr>
          <w:ilvl w:val="0"/>
          <w:numId w:val="5"/>
        </w:numPr>
        <w:rPr/>
      </w:pPr>
      <w:r>
        <w:rPr/>
        <w:t>Is it possible to signal that Enron has made a change to the data?</w:t>
        <w:br/>
        <w:t>- "Near-realtime" signal like EOL</w:t>
      </w:r>
    </w:p>
    <w:p>
      <w:pPr>
        <w:pStyle w:val="Normal"/>
        <w:numPr>
          <w:ilvl w:val="0"/>
          <w:numId w:val="5"/>
        </w:numPr>
        <w:rPr/>
      </w:pPr>
      <w:r>
        <w:rPr/>
        <w:t>Can you change history?  How far forward can data be entered/changed?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Next Steps</w:t>
      </w:r>
    </w:p>
    <w:p>
      <w:pPr>
        <w:pStyle w:val="Normal"/>
        <w:numPr>
          <w:ilvl w:val="0"/>
          <w:numId w:val="2"/>
        </w:numPr>
        <w:rPr/>
      </w:pPr>
      <w:r>
        <w:rPr/>
        <w:t>Commitment of key subject experts</w:t>
      </w:r>
    </w:p>
    <w:p>
      <w:pPr>
        <w:pStyle w:val="Normal"/>
        <w:numPr>
          <w:ilvl w:val="0"/>
          <w:numId w:val="2"/>
        </w:numPr>
        <w:rPr/>
      </w:pPr>
      <w:r>
        <w:rPr/>
        <w:t>Establishment of the project steering team</w:t>
      </w:r>
    </w:p>
    <w:p>
      <w:pPr>
        <w:pStyle w:val="Normal"/>
        <w:numPr>
          <w:ilvl w:val="0"/>
          <w:numId w:val="2"/>
        </w:numPr>
        <w:rPr/>
      </w:pPr>
      <w:r>
        <w:rPr/>
        <w:t>Detail out high level use cases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Attendees:</w:t>
      </w:r>
    </w:p>
    <w:p>
      <w:pPr>
        <w:pStyle w:val="Normal"/>
        <w:rPr/>
      </w:pPr>
      <w:r>
        <w:rPr/>
        <w:t>Bob Superty - Logistics</w:t>
      </w:r>
    </w:p>
    <w:p>
      <w:pPr>
        <w:pStyle w:val="Normal"/>
        <w:rPr/>
      </w:pPr>
      <w:r>
        <w:rPr/>
        <w:t>Daren Farmer - Logistics</w:t>
      </w:r>
    </w:p>
    <w:p>
      <w:pPr>
        <w:pStyle w:val="Normal"/>
        <w:rPr/>
      </w:pPr>
      <w:r>
        <w:rPr/>
        <w:t>Dave McMullan - Logistics</w:t>
      </w:r>
    </w:p>
    <w:p>
      <w:pPr>
        <w:pStyle w:val="Normal"/>
        <w:rPr/>
      </w:pPr>
      <w:r>
        <w:rPr/>
        <w:t>Ed Terry - Logistics</w:t>
      </w:r>
    </w:p>
    <w:p>
      <w:pPr>
        <w:pStyle w:val="Normal"/>
        <w:rPr/>
      </w:pPr>
      <w:r>
        <w:rPr/>
        <w:t>George Smith - Logistics</w:t>
      </w:r>
    </w:p>
    <w:p>
      <w:pPr>
        <w:pStyle w:val="Normal"/>
        <w:rPr/>
      </w:pPr>
      <w:r>
        <w:rPr/>
        <w:t>Hal Elrod - Ecommerce</w:t>
      </w:r>
    </w:p>
    <w:p>
      <w:pPr>
        <w:pStyle w:val="Normal"/>
        <w:rPr/>
      </w:pPr>
      <w:r>
        <w:rPr/>
        <w:t>Jay Webb - Ecommerce</w:t>
      </w:r>
    </w:p>
    <w:p>
      <w:pPr>
        <w:pStyle w:val="Normal"/>
        <w:rPr/>
      </w:pPr>
      <w:r>
        <w:rPr/>
        <w:t>Kathy Kelly - Logistics</w:t>
      </w:r>
    </w:p>
    <w:p>
      <w:pPr>
        <w:pStyle w:val="Normal"/>
        <w:rPr/>
      </w:pPr>
      <w:r>
        <w:rPr/>
        <w:t>Kevin Montagne - Ecommerce</w:t>
      </w:r>
    </w:p>
    <w:p>
      <w:pPr>
        <w:pStyle w:val="Normal"/>
        <w:rPr/>
      </w:pPr>
      <w:r>
        <w:rPr/>
        <w:t>Larry Scott - Unify - IT</w:t>
        <w:br/>
        <w:t>Dave Nommensen - Unify - IT</w:t>
      </w:r>
    </w:p>
    <w:p>
      <w:pPr>
        <w:pStyle w:val="Normal"/>
        <w:rPr/>
      </w:pPr>
      <w:r>
        <w:rPr/>
        <w:t>Paul Poellinger - Unify - IT</w:t>
      </w:r>
    </w:p>
    <w:p>
      <w:pPr>
        <w:pStyle w:val="Normal"/>
        <w:rPr/>
      </w:pPr>
      <w:r>
        <w:rPr/>
        <w:t>Randy Gay - Logistics</w:t>
      </w:r>
    </w:p>
    <w:p>
      <w:pPr>
        <w:pStyle w:val="Normal"/>
        <w:rPr/>
      </w:pPr>
      <w:r>
        <w:rPr/>
        <w:t>Stephen Bennett - Common/Support</w:t>
      </w:r>
    </w:p>
    <w:p>
      <w:pPr>
        <w:pStyle w:val="Normal"/>
        <w:rPr/>
      </w:pPr>
      <w:r>
        <w:rPr/>
        <w:t xml:space="preserve">Trisha Luong - Unify-IT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rFonts w:ascii="Arial" w:hAnsi="Arial" w:cs="Arial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2000-02-03T16:50:00Z</dcterms:created>
  <dc:creator>Hal C. Elrod</dc:creator>
  <dc:description/>
  <dc:language>en-CA</dc:language>
  <cp:lastModifiedBy>Hal C. Elrod</cp:lastModifiedBy>
  <dcterms:modified xsi:type="dcterms:W3CDTF">2000-02-04T13:53:00Z</dcterms:modified>
  <cp:revision>4</cp:revision>
  <dc:subject/>
  <dc:title>Users</dc:title>
</cp:coreProperties>
</file>