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Work Force Stability</w:t>
      </w:r>
    </w:p>
    <w:p>
      <w:pPr>
        <w:pStyle w:val="Heading1"/>
        <w:ind w:hanging="0" w:start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Energy Ops- Financial Gas Support</w:t>
      </w:r>
    </w:p>
    <w:p>
      <w:pPr>
        <w:pStyle w:val="Heading5"/>
        <w:ind w:hanging="0" w:start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Mission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 decrease turnover (related to the Associate/Analyst program) and increase workforce stability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Scope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Project will focus on Energy Ops- Financial Gas Support.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5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Our Understanding of Your Needs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Financial Gas Support has a strong dependence on the Associate Analyst program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Currently there is not much stability in the workforce because of the ration of 6 month rotations/12 month rotations and full time staff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Turnover is usually 1 year or less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Summer is going to be “brutal” once Errol loses 2 Associates/Analysts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After the Associate Analyst program employees rarely return to Financial Gas Support for full-time work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Trading Track and Associate Employees have 6 month rotations which only allows enough time to train and get up to speed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Full-time hires usually last less than a year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Analysts are ideal and reliable, we know they will be there for a year because they have a year rotation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In order to increase the head count (hire a new employee) we would need to go through Sally Beck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Ideal ration of Associate/Analysts and full-time employees is 50/50 for both Errol and Phillips groups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To increase head count is hard to justify (financially)- he/she would be utilized in afternoons, but often there are long down times- thus little ROI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8"/>
        <w:ind w:hanging="0" w:start="0"/>
        <w:rPr>
          <w:sz w:val="24"/>
        </w:rPr>
      </w:pPr>
      <w:r>
        <w:rPr>
          <w:sz w:val="24"/>
        </w:rPr>
        <w:t>Our Recommended Approach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After our review of your needs, and on the basis of our meeting, we are making the following initial recommendations: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Develop a Utility Track with the Associate/Analyst program that allows an Analyst to serve in a business unit, but rotate function/roles as needs change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Identify two Analysts (in addition to the normal number of Analysts) to fulfill a Utility Track for Financial Gas Support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Develop a plan to have new employees coming into Financial Gas Support in an ongoing basis for a year commitment</w:t>
      </w:r>
    </w:p>
    <w:p>
      <w:pPr>
        <w:pStyle w:val="Normal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Roles/Responsibilities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Melissa Prihoda- Managing Consultant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Frank De Jesus- ENW Generalist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Sunjay Arya- Associate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Errol McLaughlin- Advocate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Phillip Love- Advocate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Jeff Gossett- Sponsor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Billy Lemmons – Associate/Analyst Subject Matter Expert</w:t>
      </w:r>
    </w:p>
    <w:p>
      <w:pPr>
        <w:pStyle w:val="Heading5"/>
        <w:ind w:hanging="0" w:start="0"/>
        <w:rPr>
          <w:rFonts w:ascii="Arial" w:hAnsi="Arial" w:cs="Arial"/>
          <w:bCs w:val="false"/>
        </w:rPr>
      </w:pPr>
      <w:r>
        <w:rPr>
          <w:rFonts w:cs="Arial" w:ascii="Arial" w:hAnsi="Arial"/>
          <w:bCs w:val="false"/>
        </w:rPr>
      </w:r>
    </w:p>
    <w:p>
      <w:pPr>
        <w:pStyle w:val="Heading5"/>
        <w:ind w:hanging="0" w:start="0"/>
        <w:rPr>
          <w:rFonts w:ascii="Arial" w:hAnsi="Arial" w:cs="Arial"/>
          <w:u w:val="single"/>
        </w:rPr>
      </w:pPr>
      <w:r>
        <w:rPr>
          <w:rFonts w:cs="Arial" w:ascii="Arial" w:hAnsi="Arial"/>
        </w:rPr>
        <w:t>Critical Success Factors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A deeper pool of analysts is ready and available to move into positions in the Financial Gas Support group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Buy-in from the Associate/Analyst program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Buy-in from the Financial Gas Support leaders</w:t>
      </w:r>
    </w:p>
    <w:p>
      <w:pPr>
        <w:pStyle w:val="Heading5"/>
        <w:ind w:hanging="0" w:start="0"/>
        <w:rPr>
          <w:rFonts w:ascii="Arial" w:hAnsi="Arial" w:cs="Arial"/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</w:rPr>
      </w:r>
    </w:p>
    <w:p>
      <w:pPr>
        <w:pStyle w:val="Heading5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Deliverables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</w:rPr>
        <w:t>Identify best approach for incorporating new track in the Associate/Analyst program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</w:rPr>
        <w:t>Define administration/management of new approach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</w:rPr>
        <w:t>Secure two additional analysts to begin in August</w:t>
      </w:r>
    </w:p>
    <w:p>
      <w:pPr>
        <w:pStyle w:val="Normal"/>
        <w:ind w:start="360" w:end="0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Heading5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Time Frame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May 2001 – June 2001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ahoma" w:hAnsi="Tahoma" w:cs="Tahoma"/>
        <w:b/>
        <w:bCs/>
        <w:color w:val="FF6600"/>
        <w:sz w:val="20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7">
              <wp:simplePos x="0" y="0"/>
              <wp:positionH relativeFrom="column">
                <wp:posOffset>-419100</wp:posOffset>
              </wp:positionH>
              <wp:positionV relativeFrom="paragraph">
                <wp:posOffset>635</wp:posOffset>
              </wp:positionV>
              <wp:extent cx="6496050" cy="0"/>
              <wp:effectExtent l="0" t="5080" r="0" b="508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62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8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3pt,0.05pt" to="478.45pt,0.05pt" stroked="t" o:allowincell="f" style="position:absolute">
              <v:stroke color="navy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cs="Tahoma" w:ascii="Tahoma" w:hAnsi="Tahoma"/>
        <w:b/>
        <w:bCs/>
        <w:color w:val="FF6600"/>
        <w:sz w:val="20"/>
      </w:rPr>
      <w:t xml:space="preserve">Enron Wholesale Services </w:t>
      <w:tab/>
      <w:tab/>
      <w:t>Organizational Development and Learning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1080" w:end="0"/>
      <w:rPr/>
    </w:pPr>
    <w:bookmarkStart w:id="0" w:name="_1048679203"/>
    <w:bookmarkStart w:id="1" w:name="_1048678880"/>
    <w:bookmarkEnd w:id="0"/>
    <w:bookmarkEnd w:id="1"/>
    <w:r>
      <w:rPr/>
      <mc:AlternateContent>
        <mc:Choice Requires="wps">
          <w:drawing>
            <wp:anchor behindDoc="1" distT="0" distB="0" distL="114935" distR="114935" simplePos="0" locked="0" layoutInCell="1" allowOverlap="1" relativeHeight="9">
              <wp:simplePos x="0" y="0"/>
              <wp:positionH relativeFrom="column">
                <wp:posOffset>-676275</wp:posOffset>
              </wp:positionH>
              <wp:positionV relativeFrom="paragraph">
                <wp:posOffset>-635</wp:posOffset>
              </wp:positionV>
              <wp:extent cx="6786880" cy="871855"/>
              <wp:effectExtent l="19050" t="19685" r="19050" b="18415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6720" cy="871920"/>
                      </a:xfrm>
                      <a:prstGeom prst="rect">
                        <a:avLst/>
                      </a:prstGeom>
                      <a:noFill/>
                      <a:ln w="38160">
                        <a:solidFill>
                          <a:srgbClr val="00336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-53.25pt;margin-top:-0.05pt;width:534.35pt;height:68.6pt;mso-wrap-style:none;v-text-anchor:middle">
              <v:fill o:detectmouseclick="t" on="false"/>
              <v:stroke color="#003366" weight="38160" joinstyle="miter" endcap="flat"/>
              <w10:wrap type="none"/>
            </v:rect>
          </w:pict>
        </mc:Fallback>
      </mc:AlternateContent>
      <w:object w:dxaOrig="1666" w:dyaOrig="1351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84.7pt;height:68.65pt" filled="f" o:ole="">
          <v:imagedata r:id="rId2" o:title=""/>
        </v:shape>
        <o:OLEObject Type="Embed" ProgID="" ShapeID="ole_rId1" DrawAspect="Content" ObjectID="_82130481" r:id="rId1"/>
      </w:object>
    </w:r>
    <w:r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290830</wp:posOffset>
              </wp:positionH>
              <wp:positionV relativeFrom="paragraph">
                <wp:posOffset>-13970</wp:posOffset>
              </wp:positionV>
              <wp:extent cx="5819140" cy="894715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9140" cy="894715"/>
                      </a:xfrm>
                      <a:prstGeom prst="rect"/>
                      <a:solidFill>
                        <a:srgbClr val="003366"/>
                      </a:solidFill>
                      <a:ln w="952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Heading6"/>
                            <w:ind w:hanging="0" w:start="0"/>
                            <w:rPr/>
                          </w:pPr>
                          <w:r>
                            <w:rPr/>
                            <w:t>Project Summary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003366" strokecolor="#000000" strokeweight="0pt" style="position:absolute;rotation:-0;width:458.2pt;height:70.45pt;mso-wrap-distance-left:9.05pt;mso-wrap-distance-right:9.05pt;mso-wrap-distance-top:0pt;mso-wrap-distance-bottom:0pt;margin-top:-1.1pt;mso-position-vertical-relative:text;margin-left:22.9pt;mso-position-horizontal-relative:text">
              <v:textbox>
                <w:txbxContent>
                  <w:p>
                    <w:pPr>
                      <w:pStyle w:val="Heading6"/>
                      <w:ind w:hanging="0" w:start="0"/>
                      <w:rPr/>
                    </w:pPr>
                    <w:r>
                      <w:rPr/>
                      <w:t>Project Summary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3"/>
        </w:tabs>
        <w:ind w:start="703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2"/>
      </w:numPr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ahoma" w:hAnsi="Tahoma" w:cs="Tahoma"/>
      <w:color w:val="FF6600"/>
      <w:sz w:val="9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253" w:leader="none"/>
      </w:tabs>
      <w:ind w:hanging="270" w:start="253" w:end="0"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b/>
      <w:bCs/>
      <w:i/>
      <w:i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ulletedItems">
    <w:name w:val="Bulleted Items"/>
    <w:basedOn w:val="Normal"/>
    <w:qFormat/>
    <w:pPr>
      <w:numPr>
        <w:ilvl w:val="0"/>
        <w:numId w:val="6"/>
      </w:numPr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2001-04-24T18:12:00Z</dcterms:created>
  <dc:creator>Marty Chrisman</dc:creator>
  <dc:description/>
  <dc:language>en-CA</dc:language>
  <cp:lastModifiedBy>mprihoda</cp:lastModifiedBy>
  <cp:lastPrinted>2001-04-23T13:36:00Z</cp:lastPrinted>
  <dcterms:modified xsi:type="dcterms:W3CDTF">2001-04-26T12:06:00Z</dcterms:modified>
  <cp:revision>4</cp:revision>
  <dc:subject/>
  <dc:title>Phase</dc:title>
</cp:coreProperties>
</file>