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docx" ContentType="application/vnd.openxmlformats-officedocument.wordprocessingml.document"/>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rPr>
          <w:rFonts w:ascii="Palatino Linotype" w:hAnsi="Palatino Linotype" w:cs="Arial"/>
          <w:b/>
          <w:bCs/>
          <w:sz w:val="22"/>
        </w:rPr>
      </w:pPr>
      <w:r>
        <w:object w:dxaOrig="1541" w:dyaOrig="156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54pt;width:60pt;height:60pt;mso-wrap-distance-left:9.05pt;mso-wrap-distance-right:9.05pt;mso-position-horizontal-relative:text;mso-position-vertical-relative:text" filled="f" o:ole="">
            <v:imagedata r:id="rId3" o:title=""/>
            <w10:wrap type="topAndBottom"/>
          </v:shape>
          <o:OLEObject Type="Embed" ProgID="Word.Document.12" ShapeID="ole_rId2" DrawAspect="Content" ObjectID="_56399685" r:id="rId2"/>
        </w:object>
      </w:r>
      <w:r>
        <w:rPr>
          <w:rFonts w:cs="Arial" w:ascii="Palatino Linotype" w:hAnsi="Palatino Linotype"/>
          <w:b/>
          <w:bCs/>
          <w:sz w:val="22"/>
        </w:rPr>
        <w:tab/>
        <w:tab/>
      </w:r>
    </w:p>
    <w:p>
      <w:pPr>
        <w:pStyle w:val="Normal"/>
        <w:rPr>
          <w:rFonts w:ascii="Palatino Linotype" w:hAnsi="Palatino Linotype" w:cs="Arial"/>
          <w:b/>
          <w:bCs/>
          <w:sz w:val="22"/>
          <w:lang w:val="en-CA" w:eastAsia="en-CA"/>
        </w:rPr>
      </w:pPr>
      <w:r>
        <w:rPr>
          <w:rFonts w:cs="Arial" w:ascii="Palatino Linotype" w:hAnsi="Palatino Linotype"/>
          <w:b/>
          <w:bCs/>
          <w:sz w:val="22"/>
          <w:lang w:val="en-CA" w:eastAsia="en-CA"/>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106680</wp:posOffset>
                </wp:positionV>
                <wp:extent cx="5486400" cy="0"/>
                <wp:effectExtent l="0" t="28575" r="0" b="28575"/>
                <wp:wrapNone/>
                <wp:docPr id="1" name=""/>
                <a:graphic xmlns:a="http://schemas.openxmlformats.org/drawingml/2006/main">
                  <a:graphicData uri="http://schemas.microsoft.com/office/word/2010/wordprocessingShape">
                    <wps:wsp>
                      <wps:cNvSpPr/>
                      <wps:spPr>
                        <a:xfrm>
                          <a:off x="0" y="0"/>
                          <a:ext cx="5486400" cy="0"/>
                        </a:xfrm>
                        <a:prstGeom prst="line">
                          <a:avLst/>
                        </a:prstGeom>
                        <a:ln w="57240">
                          <a:solidFill>
                            <a:srgbClr val="6f6fff"/>
                          </a:solidFill>
                          <a:miter/>
                        </a:ln>
                      </wps:spPr>
                      <wps:style>
                        <a:lnRef idx="0"/>
                        <a:fillRef idx="0"/>
                        <a:effectRef idx="0"/>
                        <a:fontRef idx="minor"/>
                      </wps:style>
                      <wps:bodyPr/>
                    </wps:wsp>
                  </a:graphicData>
                </a:graphic>
              </wp:anchor>
            </w:drawing>
          </mc:Choice>
          <mc:Fallback>
            <w:pict>
              <v:line id="shape_0" from="0pt,8.4pt" to="431.95pt,8.4pt" stroked="t" o:allowincell="f" style="position:absolute">
                <v:stroke color="#6f6fff" weight="57240" joinstyle="miter" endcap="flat"/>
                <v:fill o:detectmouseclick="t" on="false"/>
                <w10:wrap type="none"/>
              </v:line>
            </w:pict>
          </mc:Fallback>
        </mc:AlternateContent>
      </w:r>
    </w:p>
    <w:p>
      <w:pPr>
        <w:pStyle w:val="Heading1"/>
        <w:ind w:hanging="0" w:start="0"/>
        <w:jc w:val="both"/>
        <w:rPr>
          <w:rFonts w:ascii="Palatino Linotype" w:hAnsi="Palatino Linotype" w:cs="Arial"/>
          <w:b/>
          <w:bCs/>
          <w:sz w:val="22"/>
        </w:rPr>
      </w:pPr>
      <w:r>
        <w:rPr>
          <w:rFonts w:cs="Arial"/>
          <w:b/>
          <w:bCs/>
          <w:sz w:val="22"/>
        </w:rPr>
      </w:r>
    </w:p>
    <w:p>
      <w:pPr>
        <w:pStyle w:val="Heading1"/>
        <w:ind w:hanging="0" w:start="0"/>
        <w:jc w:val="both"/>
        <w:rPr>
          <w:sz w:val="22"/>
        </w:rPr>
      </w:pPr>
      <w:r>
        <w:rPr>
          <w:sz w:val="22"/>
        </w:rPr>
        <w:t>Purpose</w:t>
      </w:r>
    </w:p>
    <w:p>
      <w:pPr>
        <w:pStyle w:val="BodyTextIndent"/>
        <w:rPr>
          <w:sz w:val="22"/>
        </w:rPr>
      </w:pPr>
      <w:r>
        <w:rPr>
          <w:sz w:val="22"/>
        </w:rPr>
        <w:t>To define the Enron Net Works Absence, Tardy and Time Entry Guidelines.</w:t>
      </w:r>
    </w:p>
    <w:p>
      <w:pPr>
        <w:pStyle w:val="Normal"/>
        <w:jc w:val="both"/>
        <w:rPr>
          <w:rFonts w:ascii="Palatino Linotype" w:hAnsi="Palatino Linotype" w:cs="Arial"/>
          <w:sz w:val="22"/>
        </w:rPr>
      </w:pPr>
      <w:r>
        <w:rPr>
          <w:rFonts w:cs="Arial" w:ascii="Palatino Linotype" w:hAnsi="Palatino Linotype"/>
          <w:sz w:val="22"/>
        </w:rPr>
      </w:r>
    </w:p>
    <w:p>
      <w:pPr>
        <w:pStyle w:val="Heading1"/>
        <w:ind w:hanging="0" w:start="0"/>
        <w:jc w:val="both"/>
        <w:rPr>
          <w:sz w:val="22"/>
        </w:rPr>
      </w:pPr>
      <w:r>
        <w:rPr>
          <w:sz w:val="22"/>
        </w:rPr>
        <w:t>Scope</w:t>
      </w:r>
    </w:p>
    <w:p>
      <w:pPr>
        <w:pStyle w:val="BodyTextIndent"/>
        <w:rPr>
          <w:sz w:val="22"/>
        </w:rPr>
      </w:pPr>
      <w:r>
        <w:rPr>
          <w:sz w:val="22"/>
        </w:rPr>
        <w:t>This Guideline applies to Enron Net Works.</w:t>
      </w:r>
    </w:p>
    <w:p>
      <w:pPr>
        <w:pStyle w:val="BodyTextIndent"/>
        <w:rPr>
          <w:sz w:val="22"/>
        </w:rPr>
      </w:pPr>
      <w:r>
        <w:rPr>
          <w:sz w:val="22"/>
        </w:rPr>
      </w:r>
    </w:p>
    <w:p>
      <w:pPr>
        <w:pStyle w:val="BodyTextIndent"/>
        <w:ind w:start="0" w:end="0"/>
        <w:rPr>
          <w:sz w:val="22"/>
          <w:u w:val="single"/>
        </w:rPr>
      </w:pPr>
      <w:r>
        <w:rPr>
          <w:sz w:val="22"/>
          <w:u w:val="single"/>
        </w:rPr>
        <w:t>Tardiness</w:t>
      </w:r>
    </w:p>
    <w:p>
      <w:pPr>
        <w:pStyle w:val="Normal"/>
        <w:ind w:start="720" w:end="0"/>
        <w:jc w:val="both"/>
        <w:rPr/>
      </w:pPr>
      <w:r>
        <w:rPr>
          <w:rFonts w:eastAsia="Palatino Linotype" w:cs="Palatino Linotype" w:ascii="Palatino Linotype" w:hAnsi="Palatino Linotype"/>
          <w:b/>
          <w:bCs/>
          <w:sz w:val="22"/>
        </w:rPr>
        <w:t xml:space="preserve"> </w:t>
      </w:r>
      <w:r>
        <w:rPr>
          <w:rFonts w:cs="Arial" w:ascii="Palatino Linotype" w:hAnsi="Palatino Linotype"/>
          <w:sz w:val="22"/>
        </w:rPr>
        <w:t xml:space="preserve">ENW Infrastructure’s success depends on the cooperation, teamwork, and availability of its employees.  The tardiness of one employee can affect an entire team.  All staff must arrive at work and begin the workday on time.  </w:t>
      </w:r>
      <w:r>
        <w:rPr>
          <w:rFonts w:cs="Arial" w:ascii="Palatino Linotype" w:hAnsi="Palatino Linotype"/>
          <w:b/>
          <w:bCs/>
          <w:sz w:val="22"/>
        </w:rPr>
        <w:t xml:space="preserve"> </w:t>
      </w:r>
      <w:r>
        <w:rPr>
          <w:rFonts w:cs="Arial" w:ascii="Palatino Linotype" w:hAnsi="Palatino Linotype"/>
          <w:sz w:val="22"/>
        </w:rPr>
        <w:t>An employee who is late for work must promptly notify his or her immediate supervisor as soon as possible.  Voice messages from friends or relatives of the employee are inappropriate.  Tardiness is defined as arriving late for work on more than three (3) occasions in a one (1) month period or patterned tardiness.  Patterned tardiness is defined as consistently arriving late to work on Monday’s and/or Friday’s; before and/or after a holiday; or on the same day(s) each week.  Employees who violate this guideline will be subject to corrective action, up to and including termination.</w:t>
      </w:r>
    </w:p>
    <w:p>
      <w:pPr>
        <w:pStyle w:val="Normal"/>
        <w:jc w:val="both"/>
        <w:rPr>
          <w:rFonts w:ascii="Palatino Linotype" w:hAnsi="Palatino Linotype" w:cs="Arial"/>
          <w:sz w:val="22"/>
        </w:rPr>
      </w:pPr>
      <w:r>
        <w:rPr>
          <w:rFonts w:cs="Arial" w:ascii="Palatino Linotype" w:hAnsi="Palatino Linotype"/>
          <w:sz w:val="22"/>
        </w:rPr>
      </w:r>
    </w:p>
    <w:p>
      <w:pPr>
        <w:pStyle w:val="Normal"/>
        <w:rPr>
          <w:rFonts w:ascii="Palatino Linotype" w:hAnsi="Palatino Linotype" w:cs="Arial"/>
          <w:b/>
          <w:bCs/>
          <w:sz w:val="22"/>
        </w:rPr>
      </w:pPr>
      <w:r>
        <w:rPr>
          <w:sz w:val="22"/>
          <w:u w:val="single"/>
        </w:rPr>
        <w:t>Absence</w:t>
      </w:r>
    </w:p>
    <w:p>
      <w:pPr>
        <w:pStyle w:val="Normal"/>
        <w:ind w:start="720" w:end="0"/>
        <w:jc w:val="both"/>
        <w:rPr>
          <w:rFonts w:ascii="Palatino Linotype" w:hAnsi="Palatino Linotype" w:cs="Arial"/>
          <w:sz w:val="22"/>
        </w:rPr>
      </w:pPr>
      <w:r>
        <w:rPr>
          <w:rFonts w:cs="Arial" w:ascii="Palatino Linotype" w:hAnsi="Palatino Linotype"/>
          <w:sz w:val="22"/>
        </w:rPr>
        <w:t xml:space="preserve">Regular predictable attendance to the job is a requirement and is essential to the success of Enron Networks.  An employee who is unable to come to work, must promptly notify his or her supervisor, and in any event, no later than one hour after his or her shift starts unless the employee is medically unable to contact his or her supervisor.  For absences that continue beyond one day, an employee must notify their supervisor each day of the absence unless he or she has provided medical authorization to be out for a specified period of time.  Early notification allows for the supervisor to make alternative arrangements to cover work assignments.  Failure to call-in for three (3) days or more may be treated as a voluntary resignation.  </w:t>
      </w:r>
    </w:p>
    <w:p>
      <w:pPr>
        <w:pStyle w:val="Normal"/>
        <w:ind w:start="720" w:end="0"/>
        <w:jc w:val="both"/>
        <w:rPr>
          <w:rFonts w:ascii="Palatino Linotype" w:hAnsi="Palatino Linotype" w:cs="Arial"/>
          <w:sz w:val="22"/>
        </w:rPr>
      </w:pPr>
      <w:r>
        <w:rPr>
          <w:rFonts w:cs="Arial" w:ascii="Palatino Linotype" w:hAnsi="Palatino Linotype"/>
          <w:sz w:val="22"/>
        </w:rPr>
      </w:r>
    </w:p>
    <w:p>
      <w:pPr>
        <w:pStyle w:val="Normal"/>
        <w:ind w:start="720" w:end="0"/>
        <w:jc w:val="both"/>
        <w:rPr>
          <w:rFonts w:ascii="Palatino Linotype" w:hAnsi="Palatino Linotype" w:cs="Arial"/>
          <w:sz w:val="22"/>
        </w:rPr>
      </w:pPr>
      <w:r>
        <w:rPr>
          <w:rFonts w:cs="Arial" w:ascii="Palatino Linotype" w:hAnsi="Palatino Linotype"/>
          <w:sz w:val="22"/>
        </w:rPr>
        <w:t xml:space="preserve">If an employee is absent from work due to illness or injury for three (3) consecutive days, written documentation signed by the employee’s doctor or health care provider must be provided to the Human Resources department on the day of return.  If the absence exceeds three (3) days, then written documentation signed by the employee’s doctor or health care provider stating expected date of return must be provided to the Human Resources department within five (5) business days from the first day of the absence.  This documentation must confirm the necessity of such absence and must state that the employee is able to return to work with or without restrictions.  </w:t>
      </w:r>
    </w:p>
    <w:p>
      <w:pPr>
        <w:pStyle w:val="Normal"/>
        <w:ind w:start="720" w:end="0"/>
        <w:jc w:val="both"/>
        <w:rPr>
          <w:rFonts w:ascii="Palatino Linotype" w:hAnsi="Palatino Linotype" w:cs="Arial"/>
          <w:sz w:val="22"/>
        </w:rPr>
      </w:pPr>
      <w:r>
        <w:rPr>
          <w:rFonts w:cs="Arial" w:ascii="Palatino Linotype" w:hAnsi="Palatino Linotype"/>
          <w:sz w:val="22"/>
        </w:rPr>
      </w:r>
    </w:p>
    <w:p>
      <w:pPr>
        <w:pStyle w:val="BodyText"/>
        <w:rPr>
          <w:rFonts w:ascii="Palatino Linotype" w:hAnsi="Palatino Linotype" w:cs="Arial"/>
          <w:sz w:val="22"/>
          <w:u w:val="single"/>
        </w:rPr>
      </w:pPr>
      <w:r>
        <w:rPr>
          <w:rFonts w:cs="Arial"/>
          <w:sz w:val="22"/>
          <w:u w:val="single"/>
        </w:rPr>
      </w:r>
    </w:p>
    <w:p>
      <w:pPr>
        <w:pStyle w:val="BodyText"/>
        <w:rPr>
          <w:sz w:val="22"/>
          <w:u w:val="single"/>
          <w:lang w:val="en-CA" w:eastAsia="en-CA"/>
        </w:rPr>
      </w:pPr>
      <w:r>
        <w:rPr>
          <w:sz w:val="22"/>
          <w:u w:val="single"/>
          <w:lang w:val="en-CA" w:eastAsia="en-CA"/>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635</wp:posOffset>
                </wp:positionV>
                <wp:extent cx="5486400" cy="0"/>
                <wp:effectExtent l="0" t="28575" r="0" b="28575"/>
                <wp:wrapNone/>
                <wp:docPr id="2" name=""/>
                <a:graphic xmlns:a="http://schemas.openxmlformats.org/drawingml/2006/main">
                  <a:graphicData uri="http://schemas.microsoft.com/office/word/2010/wordprocessingShape">
                    <wps:wsp>
                      <wps:cNvSpPr/>
                      <wps:spPr>
                        <a:xfrm>
                          <a:off x="0" y="0"/>
                          <a:ext cx="5486400" cy="0"/>
                        </a:xfrm>
                        <a:prstGeom prst="line">
                          <a:avLst/>
                        </a:prstGeom>
                        <a:ln w="57240">
                          <a:solidFill>
                            <a:srgbClr val="6f6fff"/>
                          </a:solidFill>
                          <a:miter/>
                        </a:ln>
                      </wps:spPr>
                      <wps:style>
                        <a:lnRef idx="0"/>
                        <a:fillRef idx="0"/>
                        <a:effectRef idx="0"/>
                        <a:fontRef idx="minor"/>
                      </wps:style>
                      <wps:bodyPr/>
                    </wps:wsp>
                  </a:graphicData>
                </a:graphic>
              </wp:anchor>
            </w:drawing>
          </mc:Choice>
          <mc:Fallback>
            <w:pict>
              <v:line id="shape_0" from="0pt,0pt" to="431.95pt,0pt" stroked="t" o:allowincell="f" style="position:absolute">
                <v:stroke color="#6f6fff" weight="57240" joinstyle="miter" endcap="flat"/>
                <v:fill o:detectmouseclick="t" on="false"/>
                <w10:wrap type="none"/>
              </v:line>
            </w:pict>
          </mc:Fallback>
        </mc:AlternateContent>
      </w:r>
    </w:p>
    <w:p>
      <w:pPr>
        <w:pStyle w:val="BodyText"/>
        <w:rPr>
          <w:sz w:val="22"/>
          <w:u w:val="single"/>
        </w:rPr>
      </w:pPr>
      <w:r>
        <w:rPr>
          <w:sz w:val="22"/>
          <w:u w:val="single"/>
        </w:rPr>
      </w:r>
    </w:p>
    <w:p>
      <w:pPr>
        <w:pStyle w:val="BodyText"/>
        <w:rPr>
          <w:sz w:val="22"/>
        </w:rPr>
      </w:pPr>
      <w:r>
        <w:rPr>
          <w:sz w:val="22"/>
          <w:u w:val="single"/>
        </w:rPr>
        <w:t>Absence (con’t)</w:t>
      </w:r>
    </w:p>
    <w:p>
      <w:pPr>
        <w:pStyle w:val="BodyText"/>
        <w:ind w:start="720" w:end="0"/>
        <w:rPr>
          <w:sz w:val="22"/>
        </w:rPr>
      </w:pPr>
      <w:r>
        <w:rPr>
          <w:sz w:val="22"/>
        </w:rPr>
        <w:t xml:space="preserve">For excessive absences, although not necessarily concurrent, or if an employee displays a pattern of absences, an employee may also be required to submit documentation.  Employees who are excessively absent from work will be subject to corrective action, up to and including termination.  </w:t>
      </w:r>
    </w:p>
    <w:p>
      <w:pPr>
        <w:pStyle w:val="Normal"/>
        <w:ind w:start="720" w:end="0"/>
        <w:jc w:val="both"/>
        <w:rPr>
          <w:rFonts w:ascii="Palatino Linotype" w:hAnsi="Palatino Linotype" w:cs="Arial"/>
          <w:sz w:val="22"/>
        </w:rPr>
      </w:pPr>
      <w:r>
        <w:rPr>
          <w:rFonts w:cs="Arial" w:ascii="Palatino Linotype" w:hAnsi="Palatino Linotype"/>
          <w:sz w:val="22"/>
        </w:rPr>
      </w:r>
    </w:p>
    <w:p>
      <w:pPr>
        <w:pStyle w:val="Normal"/>
        <w:rPr>
          <w:rFonts w:ascii="Palatino Linotype" w:hAnsi="Palatino Linotype" w:cs="Arial"/>
          <w:b/>
          <w:bCs/>
          <w:sz w:val="22"/>
        </w:rPr>
      </w:pPr>
      <w:r>
        <w:rPr>
          <w:sz w:val="22"/>
          <w:u w:val="single"/>
        </w:rPr>
        <w:t xml:space="preserve">Time Entry </w:t>
      </w:r>
    </w:p>
    <w:p>
      <w:pPr>
        <w:pStyle w:val="Normal"/>
        <w:ind w:start="720" w:end="0"/>
        <w:jc w:val="both"/>
        <w:rPr/>
      </w:pPr>
      <w:r>
        <w:rPr>
          <w:rFonts w:cs="Arial" w:ascii="Palatino Linotype" w:hAnsi="Palatino Linotype"/>
          <w:sz w:val="22"/>
        </w:rPr>
        <w:t>Non-exempt e</w:t>
      </w:r>
      <w:r>
        <w:rPr>
          <w:rFonts w:cs="Palatino Linotype" w:ascii="Palatino Linotype" w:hAnsi="Palatino Linotype"/>
          <w:sz w:val="22"/>
        </w:rPr>
        <w:t xml:space="preserve">mployees are responsible for obtaining a manager’s signature on a hard copy of their timesheets per pay period.  </w:t>
      </w:r>
    </w:p>
    <w:p>
      <w:pPr>
        <w:pStyle w:val="Normal"/>
        <w:ind w:start="720" w:end="0"/>
        <w:jc w:val="both"/>
        <w:rPr>
          <w:rFonts w:ascii="Palatino Linotype" w:hAnsi="Palatino Linotype" w:cs="Palatino Linotype"/>
          <w:sz w:val="22"/>
        </w:rPr>
      </w:pPr>
      <w:r>
        <w:rPr>
          <w:rFonts w:cs="Palatino Linotype" w:ascii="Palatino Linotype" w:hAnsi="Palatino Linotype"/>
          <w:sz w:val="22"/>
        </w:rPr>
      </w:r>
    </w:p>
    <w:p>
      <w:pPr>
        <w:pStyle w:val="Normal"/>
        <w:ind w:start="720" w:end="0"/>
        <w:jc w:val="both"/>
        <w:rPr>
          <w:rFonts w:ascii="Palatino Linotype" w:hAnsi="Palatino Linotype" w:cs="Arial"/>
          <w:sz w:val="22"/>
        </w:rPr>
      </w:pPr>
      <w:r>
        <w:rPr>
          <w:rFonts w:cs="Palatino Linotype" w:ascii="Palatino Linotype" w:hAnsi="Palatino Linotype"/>
          <w:sz w:val="22"/>
        </w:rPr>
        <w:t xml:space="preserve">All employees (exempt and non exempt) will be responsible for being sure that their time is recorded accurately and promptly, including vacation, sick leave, and personal time.  </w:t>
      </w:r>
    </w:p>
    <w:p>
      <w:pPr>
        <w:pStyle w:val="Normal"/>
        <w:ind w:start="720" w:end="0"/>
        <w:jc w:val="both"/>
        <w:rPr>
          <w:rFonts w:ascii="Palatino Linotype" w:hAnsi="Palatino Linotype" w:cs="Arial"/>
          <w:sz w:val="22"/>
        </w:rPr>
      </w:pPr>
      <w:r>
        <w:rPr>
          <w:rFonts w:cs="Arial" w:ascii="Palatino Linotype" w:hAnsi="Palatino Linotype"/>
          <w:sz w:val="22"/>
        </w:rPr>
      </w:r>
    </w:p>
    <w:p>
      <w:pPr>
        <w:pStyle w:val="Normal"/>
        <w:ind w:start="720" w:end="0"/>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r>
    </w:p>
    <w:p>
      <w:pPr>
        <w:pStyle w:val="Normal"/>
        <w:jc w:val="both"/>
        <w:rPr>
          <w:rFonts w:ascii="Palatino Linotype" w:hAnsi="Palatino Linotype" w:cs="Arial"/>
          <w:sz w:val="22"/>
        </w:rPr>
      </w:pPr>
      <w:r>
        <w:rPr>
          <w:rFonts w:cs="Arial" w:ascii="Palatino Linotype" w:hAnsi="Palatino Linotype"/>
          <w:sz w:val="22"/>
        </w:rPr>
        <w:t>Note to Managers:</w:t>
      </w:r>
    </w:p>
    <w:p>
      <w:pPr>
        <w:pStyle w:val="Normal"/>
        <w:jc w:val="both"/>
        <w:rPr>
          <w:rFonts w:ascii="Palatino Linotype" w:hAnsi="Palatino Linotype" w:cs="Arial"/>
          <w:sz w:val="22"/>
        </w:rPr>
      </w:pPr>
      <w:r>
        <w:rPr>
          <w:rFonts w:cs="Arial" w:ascii="Palatino Linotype" w:hAnsi="Palatino Linotype"/>
          <w:sz w:val="22"/>
        </w:rPr>
      </w:r>
    </w:p>
    <w:p>
      <w:pPr>
        <w:pStyle w:val="Normal"/>
        <w:ind w:start="720" w:end="0"/>
        <w:jc w:val="both"/>
        <w:rPr>
          <w:rFonts w:ascii="Palatino Linotype" w:hAnsi="Palatino Linotype" w:cs="Palatino Linotype"/>
          <w:sz w:val="22"/>
        </w:rPr>
      </w:pPr>
      <w:r>
        <w:rPr>
          <w:rFonts w:cs="Palatino Linotype" w:ascii="Palatino Linotype" w:hAnsi="Palatino Linotype"/>
          <w:sz w:val="22"/>
        </w:rPr>
        <w:t xml:space="preserve">If an employee has been absent from work for more than five (5) business days, the supervisor is responsible for notifying Human Resources to discuss potential benefit options.  The supervisor is also responsible for coordinating with designated timekeeper to arrange for proper time entry for absent employee.   </w:t>
      </w:r>
    </w:p>
    <w:p>
      <w:pPr>
        <w:pStyle w:val="BodyTextIndent"/>
        <w:rPr>
          <w:rFonts w:ascii="Palatino Linotype" w:hAnsi="Palatino Linotype" w:cs="Palatino Linotype"/>
          <w:sz w:val="22"/>
        </w:rPr>
      </w:pPr>
      <w:r>
        <w:rPr>
          <w:rFonts w:cs="Palatino Linotype"/>
          <w:sz w:val="22"/>
        </w:rPr>
      </w:r>
    </w:p>
    <w:p>
      <w:pPr>
        <w:pStyle w:val="Normal"/>
        <w:jc w:val="both"/>
        <w:rPr>
          <w:rFonts w:ascii="Palatino Linotype" w:hAnsi="Palatino Linotype" w:cs="Arial"/>
          <w:sz w:val="22"/>
        </w:rPr>
      </w:pPr>
      <w:r>
        <w:rPr>
          <w:rFonts w:cs="Arial" w:ascii="Palatino Linotype" w:hAnsi="Palatino Linotype"/>
          <w:sz w:val="22"/>
        </w:rPr>
      </w:r>
    </w:p>
    <w:sectPr>
      <w:headerReference w:type="default" r:id="rId4"/>
      <w:footerReference w:type="default" r:id="rId5"/>
      <w:type w:val="nextPage"/>
      <w:pgSz w:w="12240" w:h="15840"/>
      <w:pgMar w:left="1584" w:right="1584"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Linotype">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sz w:val="28"/>
      </w:rPr>
    </w:pPr>
    <w:r>
      <w:rPr>
        <w:b/>
        <w:bCs/>
        <w:sz w:val="28"/>
      </w:rPr>
      <w:t>DRAFT COPY</w:t>
    </w:r>
  </w:p>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p>
    <w:pPr>
      <w:pStyle w:val="Footer"/>
      <w:rPr>
        <w:rStyle w:val="PageNumber"/>
        <w:b/>
        <w:bCs/>
        <w:sz w:val="2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DRAFT COPY</w:t>
    </w:r>
  </w:p>
  <w:p>
    <w:pPr>
      <w:pStyle w:val="Header"/>
      <w:jc w:val="end"/>
      <w:rPr>
        <w:sz w:val="20"/>
      </w:rPr>
    </w:pPr>
    <w:r>
      <w:rPr>
        <w:sz w:val="20"/>
      </w:rPr>
      <w:t xml:space="preserve">Issued: 11/1/01  </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Palatino Linotype" w:hAnsi="Palatino Linotype" w:cs="Arial"/>
      <w:u w:val="single"/>
    </w:rPr>
  </w:style>
  <w:style w:type="paragraph" w:styleId="Heading2">
    <w:name w:val="heading 2"/>
    <w:basedOn w:val="Normal"/>
    <w:next w:val="Normal"/>
    <w:qFormat/>
    <w:pPr>
      <w:keepNext w:val="true"/>
      <w:numPr>
        <w:ilvl w:val="1"/>
        <w:numId w:val="1"/>
      </w:numPr>
      <w:jc w:val="both"/>
      <w:outlineLvl w:val="1"/>
    </w:pPr>
    <w:rPr>
      <w:rFonts w:ascii="Palatino Linotype" w:hAnsi="Palatino Linotype" w:cs="Arial"/>
      <w:u w:val="single"/>
    </w:rPr>
  </w:style>
  <w:style w:type="paragraph" w:styleId="Heading3">
    <w:name w:val="heading 3"/>
    <w:basedOn w:val="Normal"/>
    <w:next w:val="Normal"/>
    <w:qFormat/>
    <w:pPr>
      <w:keepNext w:val="true"/>
      <w:numPr>
        <w:ilvl w:val="2"/>
        <w:numId w:val="1"/>
      </w:numPr>
      <w:jc w:val="both"/>
      <w:outlineLvl w:val="2"/>
    </w:pPr>
    <w:rPr>
      <w:rFonts w:ascii="Palatino Linotype" w:hAnsi="Palatino Linotype" w:cs="Arial"/>
      <w:b/>
      <w:bCs/>
      <w:u w:val="single"/>
    </w:rPr>
  </w:style>
  <w:style w:type="paragraph" w:styleId="Heading4">
    <w:name w:val="heading 4"/>
    <w:basedOn w:val="Normal"/>
    <w:next w:val="Normal"/>
    <w:qFormat/>
    <w:pPr>
      <w:keepNext w:val="true"/>
      <w:numPr>
        <w:ilvl w:val="3"/>
        <w:numId w:val="1"/>
      </w:numPr>
      <w:jc w:val="both"/>
      <w:outlineLvl w:val="3"/>
    </w:pPr>
    <w:rPr>
      <w:rFonts w:ascii="Palatino Linotype" w:hAnsi="Palatino Linotype" w:cs="Arial"/>
      <w:b/>
      <w:bCs/>
    </w:rPr>
  </w:style>
  <w:style w:type="character" w:styleId="WW8Num1z0">
    <w:name w:val="WW8Num1z0"/>
    <w:qFormat/>
    <w:rPr/>
  </w:style>
  <w:style w:type="character" w:styleId="WW8Num2z0">
    <w:name w:val="WW8Num2z0"/>
    <w:qFormat/>
    <w:rPr/>
  </w:style>
  <w:style w:type="character" w:styleId="WW8Num2z1">
    <w:name w:val="WW8Num2z1"/>
    <w:qFormat/>
    <w:rPr>
      <w:rFonts w:ascii="Wingdings" w:hAnsi="Wingdings" w:cs="Wingdings"/>
    </w:rPr>
  </w:style>
  <w:style w:type="character" w:styleId="WW8Num3z0">
    <w:name w:val="WW8Num3z0"/>
    <w:qFormat/>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rFonts w:ascii="Wingdings" w:hAnsi="Wingdings" w:cs="Wingdings"/>
    </w:rPr>
  </w:style>
  <w:style w:type="character" w:styleId="WW8Num6z3">
    <w:name w:val="WW8Num6z3"/>
    <w:qFormat/>
    <w:rPr>
      <w:rFonts w:ascii="Wingdings" w:hAnsi="Wingdings" w:cs="Wingdings"/>
      <w:sz w:val="16"/>
    </w:rPr>
  </w:style>
  <w:style w:type="character" w:styleId="WW8Num7z0">
    <w:name w:val="WW8Num7z0"/>
    <w:qFormat/>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Palatino Linotype" w:hAnsi="Palatino Linotype"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rFonts w:ascii="Palatino Linotype" w:hAnsi="Palatino Linotype" w:cs="Arial"/>
    </w:rPr>
  </w:style>
  <w:style w:type="paragraph" w:styleId="BodyText2">
    <w:name w:val="Body Text 2"/>
    <w:basedOn w:val="Normal"/>
    <w:qFormat/>
    <w:pPr>
      <w:jc w:val="both"/>
    </w:pPr>
    <w:rPr>
      <w:rFonts w:ascii="Palatino Linotype" w:hAnsi="Palatino Linotype" w:cs="Arial"/>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1440" w:end="0"/>
      <w:jc w:val="both"/>
    </w:pPr>
    <w:rPr>
      <w:rFonts w:ascii="Palatino Linotype" w:hAnsi="Palatino Linotype" w:cs="Arial"/>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doc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2001-11-12T20:00:00Z</dcterms:created>
  <dc:creator>rmcgarr</dc:creator>
  <dc:description/>
  <dc:language>en-CA</dc:language>
  <cp:lastModifiedBy>lkinning</cp:lastModifiedBy>
  <cp:lastPrinted>2001-11-05T09:17:00Z</cp:lastPrinted>
  <dcterms:modified xsi:type="dcterms:W3CDTF">2001-11-12T20:00:00Z</dcterms:modified>
  <cp:revision>2</cp:revision>
  <dc:subject/>
  <dc:title> </dc:title>
</cp:coreProperties>
</file>