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rFonts w:ascii="Arial" w:hAnsi="Arial" w:cs="Arial"/>
          <w:color w:val="000080"/>
          <w:sz w:val="36"/>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2043762864" r:id="rId2"/>
        </w:object>
      </w:r>
      <w:r>
        <w:rPr>
          <w:rFonts w:cs="Arial" w:ascii="Arial" w:hAnsi="Arial"/>
          <w:color w:val="000080"/>
          <w:sz w:val="36"/>
        </w:rPr>
        <w:t xml:space="preserve">Enron Global Markets </w:t>
      </w:r>
    </w:p>
    <w:p>
      <w:pPr>
        <w:pStyle w:val="Subtitle"/>
        <w:ind w:start="5040" w:end="0"/>
        <w:jc w:val="end"/>
        <w:rPr/>
      </w:pPr>
      <w:r>
        <w:rPr>
          <w:rFonts w:cs="Arial" w:ascii="Arial" w:hAnsi="Arial"/>
          <w:color w:val="000080"/>
          <w:sz w:val="36"/>
        </w:rPr>
        <w:t>Competitive Analysis</w:t>
      </w:r>
      <w:r>
        <w:rPr>
          <w:rFonts w:cs="Arial" w:ascii="Arial" w:hAnsi="Arial"/>
          <w:color w:val="000080"/>
          <w:sz w:val="40"/>
        </w:rPr>
        <w:t xml:space="preserve"> </w:t>
      </w:r>
    </w:p>
    <w:p>
      <w:pPr>
        <w:pStyle w:val="Subtitle"/>
        <w:ind w:start="5040" w:end="0"/>
        <w:jc w:val="end"/>
        <w:rPr>
          <w:rFonts w:ascii="Arial" w:hAnsi="Arial" w:cs="Arial"/>
          <w:color w:val="000080"/>
          <w:sz w:val="40"/>
        </w:rPr>
      </w:pPr>
      <w:r>
        <w:rPr>
          <w:rFonts w:cs="Arial" w:ascii="Arial" w:hAnsi="Arial"/>
          <w:color w:val="000080"/>
          <w:sz w:val="40"/>
        </w:rPr>
      </w:r>
    </w:p>
    <w:p>
      <w:pPr>
        <w:pStyle w:val="Subtitle"/>
        <w:jc w:val="start"/>
        <w:rPr>
          <w:rFonts w:ascii="Arial" w:hAnsi="Arial" w:cs="Arial"/>
          <w:color w:val="000080"/>
          <w:sz w:val="28"/>
        </w:rPr>
      </w:pPr>
      <w:r>
        <w:rPr>
          <w:rFonts w:cs="Arial" w:ascii="Arial" w:hAnsi="Arial"/>
          <w:color w:val="000080"/>
          <w:sz w:val="28"/>
        </w:rPr>
      </w:r>
    </w:p>
    <w:p>
      <w:pPr>
        <w:pStyle w:val="Subtitle"/>
        <w:rPr>
          <w:rFonts w:ascii="Arial" w:hAnsi="Arial" w:cs="Arial"/>
          <w:b/>
          <w:color w:val="000080"/>
          <w:sz w:val="28"/>
        </w:rPr>
      </w:pPr>
      <w:r>
        <w:rPr>
          <w:rFonts w:cs="Arial" w:ascii="Arial" w:hAnsi="Arial"/>
          <w:b/>
          <w:color w:val="000080"/>
          <w:sz w:val="28"/>
        </w:rPr>
      </w:r>
    </w:p>
    <w:p>
      <w:pPr>
        <w:pStyle w:val="Subtitle"/>
        <w:rPr>
          <w:rFonts w:ascii="Arial" w:hAnsi="Arial" w:cs="Arial"/>
          <w:b/>
          <w:color w:val="000080"/>
          <w:sz w:val="22"/>
        </w:rPr>
      </w:pPr>
      <w:r>
        <w:rPr>
          <w:rFonts w:cs="Arial" w:ascii="Arial" w:hAnsi="Arial"/>
          <w:b/>
          <w:color w:val="FF0000"/>
          <w:sz w:val="22"/>
        </w:rPr>
        <w:t>NOTICE:  CABC reports contain sensitive information and are not for general distribution</w:t>
      </w:r>
    </w:p>
    <w:p>
      <w:pPr>
        <w:pStyle w:val="Subtitle"/>
        <w:rPr>
          <w:rFonts w:ascii="Arial" w:hAnsi="Arial" w:cs="Arial"/>
          <w:b/>
          <w:color w:val="000080"/>
          <w:sz w:val="20"/>
        </w:rPr>
      </w:pPr>
      <w:r>
        <w:rPr>
          <w:rFonts w:cs="Arial" w:ascii="Arial" w:hAnsi="Arial"/>
          <w:b/>
          <w:color w:val="000080"/>
          <w:sz w:val="20"/>
        </w:rPr>
      </w:r>
    </w:p>
    <w:p>
      <w:pPr>
        <w:pStyle w:val="Normal"/>
        <w:jc w:val="center"/>
        <w:rPr>
          <w:rFonts w:ascii="Arial" w:hAnsi="Arial" w:cs="Arial"/>
          <w:b/>
          <w:color w:val="000080"/>
          <w:sz w:val="36"/>
        </w:rPr>
      </w:pPr>
      <w:r>
        <w:rPr>
          <w:rFonts w:cs="Arial" w:ascii="Arial" w:hAnsi="Arial"/>
          <w:b/>
          <w:color w:val="000080"/>
          <w:sz w:val="36"/>
        </w:rPr>
        <w:t xml:space="preserve">Energy News Today:  </w:t>
      </w:r>
    </w:p>
    <w:p>
      <w:pPr>
        <w:pStyle w:val="Normal"/>
        <w:jc w:val="center"/>
        <w:rPr>
          <w:rFonts w:ascii="Arial" w:hAnsi="Arial" w:cs="Arial"/>
          <w:b/>
          <w:color w:val="000080"/>
          <w:sz w:val="32"/>
        </w:rPr>
      </w:pPr>
      <w:r>
        <w:rPr>
          <w:rFonts w:cs="Arial" w:ascii="Arial" w:hAnsi="Arial"/>
          <w:b/>
          <w:color w:val="000080"/>
          <w:sz w:val="32"/>
        </w:rPr>
        <w:t>Outstanding Resource for Refinery Intelligence</w:t>
      </w:r>
    </w:p>
    <w:p>
      <w:pPr>
        <w:pStyle w:val="Normal"/>
        <w:rPr>
          <w:rFonts w:ascii="Arial" w:hAnsi="Arial" w:cs="Arial"/>
          <w:b/>
          <w:color w:val="000080"/>
          <w:sz w:val="24"/>
        </w:rPr>
      </w:pPr>
      <w:r>
        <w:rPr>
          <w:rFonts w:cs="Arial" w:ascii="Arial" w:hAnsi="Arial"/>
          <w:b/>
          <w:color w:val="000080"/>
          <w:sz w:val="24"/>
        </w:rPr>
      </w:r>
    </w:p>
    <w:p>
      <w:pPr>
        <w:pStyle w:val="Normal"/>
        <w:rPr>
          <w:rFonts w:ascii="Arial" w:hAnsi="Arial" w:cs="Arial"/>
          <w:color w:val="000080"/>
          <w:sz w:val="24"/>
        </w:rPr>
      </w:pPr>
      <w:r>
        <w:rPr>
          <w:rFonts w:cs="Arial" w:ascii="Arial" w:hAnsi="Arial"/>
          <w:color w:val="000080"/>
          <w:sz w:val="24"/>
        </w:rPr>
      </w:r>
    </w:p>
    <w:p>
      <w:pPr>
        <w:pStyle w:val="Normal"/>
        <w:rPr/>
      </w:pPr>
      <w:r>
        <w:rPr>
          <w:rFonts w:cs="Arial" w:ascii="Arial" w:hAnsi="Arial"/>
          <w:color w:val="000080"/>
          <w:sz w:val="24"/>
        </w:rPr>
        <w:t xml:space="preserve">Fundamentals group uses open source info (Bloomberg etc) to crunch numbers and run the models.  But our competitive advantage is finding out about refinery disruptions </w:t>
      </w:r>
      <w:r>
        <w:rPr>
          <w:rFonts w:cs="Arial" w:ascii="Arial" w:hAnsi="Arial"/>
          <w:b/>
          <w:bCs/>
          <w:color w:val="000080"/>
          <w:sz w:val="24"/>
          <w:u w:val="single"/>
        </w:rPr>
        <w:t>before they become public.</w:t>
      </w:r>
    </w:p>
    <w:p>
      <w:pPr>
        <w:pStyle w:val="Normal"/>
        <w:rPr>
          <w:rFonts w:ascii="Arial" w:hAnsi="Arial" w:cs="Arial"/>
          <w:b/>
          <w:bCs/>
          <w:color w:val="000080"/>
          <w:sz w:val="24"/>
          <w:u w:val="single"/>
        </w:rPr>
      </w:pPr>
      <w:r>
        <w:rPr>
          <w:rFonts w:cs="Arial" w:ascii="Arial" w:hAnsi="Arial"/>
          <w:b/>
          <w:bCs/>
          <w:color w:val="000080"/>
          <w:sz w:val="24"/>
          <w:u w:val="single"/>
        </w:rPr>
      </w:r>
    </w:p>
    <w:p>
      <w:pPr>
        <w:pStyle w:val="Normal"/>
        <w:rPr>
          <w:rFonts w:ascii="Arial" w:hAnsi="Arial" w:cs="Arial"/>
          <w:color w:val="000080"/>
          <w:sz w:val="24"/>
        </w:rPr>
      </w:pPr>
      <w:r>
        <w:rPr>
          <w:rFonts w:cs="Arial" w:ascii="Arial" w:hAnsi="Arial"/>
          <w:color w:val="000080"/>
          <w:sz w:val="24"/>
        </w:rPr>
      </w:r>
    </w:p>
    <w:p>
      <w:pPr>
        <w:pStyle w:val="Normal"/>
        <w:rPr/>
      </w:pPr>
      <w:r>
        <w:rPr>
          <w:rFonts w:cs="Arial" w:ascii="Arial" w:hAnsi="Arial"/>
          <w:color w:val="000080"/>
          <w:sz w:val="24"/>
        </w:rPr>
        <w:t xml:space="preserve">Energy News Today has career energy journalists who do nothing but call on the refineries to find out about upcoming turnarounds.  They are the best source in an unexpected disruption, as evidenced by our preview of Citgo Lemont damage (photograph). </w:t>
      </w:r>
      <w:r>
        <w:rPr>
          <w:rFonts w:cs="Arial" w:ascii="Arial" w:hAnsi="Arial"/>
          <w:b/>
          <w:bCs/>
          <w:color w:val="000080"/>
          <w:sz w:val="24"/>
          <w:u w:val="single"/>
        </w:rPr>
        <w:t>And they tailor their focus to meet Enron’s changing needs.</w:t>
      </w:r>
    </w:p>
    <w:p>
      <w:pPr>
        <w:pStyle w:val="Normal"/>
        <w:rPr>
          <w:rFonts w:ascii="Arial" w:hAnsi="Arial" w:cs="Arial"/>
          <w:b/>
          <w:bCs/>
          <w:color w:val="000080"/>
          <w:sz w:val="24"/>
          <w:u w:val="single"/>
        </w:rPr>
      </w:pPr>
      <w:r>
        <w:rPr>
          <w:rFonts w:cs="Arial" w:ascii="Arial" w:hAnsi="Arial"/>
          <w:b/>
          <w:bCs/>
          <w:color w:val="000080"/>
          <w:sz w:val="24"/>
          <w:u w:val="single"/>
        </w:rPr>
      </w:r>
    </w:p>
    <w:p>
      <w:pPr>
        <w:pStyle w:val="Normal"/>
        <w:rPr>
          <w:rFonts w:ascii="Arial" w:hAnsi="Arial" w:cs="Arial"/>
          <w:color w:val="000080"/>
          <w:sz w:val="24"/>
        </w:rPr>
      </w:pPr>
      <w:r>
        <w:rPr>
          <w:rFonts w:cs="Arial" w:ascii="Arial" w:hAnsi="Arial"/>
          <w:color w:val="000080"/>
          <w:sz w:val="24"/>
        </w:rPr>
      </w:r>
    </w:p>
    <w:p>
      <w:pPr>
        <w:pStyle w:val="Normal"/>
        <w:autoSpaceDE w:val="false"/>
        <w:ind w:hanging="200" w:start="200" w:end="0"/>
        <w:rPr/>
      </w:pPr>
      <w:r>
        <w:rPr>
          <w:rFonts w:cs="Arial" w:ascii="Arial" w:hAnsi="Arial"/>
          <w:color w:val="000080"/>
          <w:sz w:val="24"/>
        </w:rPr>
        <w:t xml:space="preserve">For example just today, </w:t>
      </w:r>
      <w:r>
        <w:rPr>
          <w:rFonts w:cs="Arial" w:ascii="Arial" w:hAnsi="Arial"/>
          <w:b/>
          <w:bCs/>
          <w:color w:val="000080"/>
          <w:sz w:val="24"/>
          <w:u w:val="single"/>
        </w:rPr>
        <w:t>we learned that Reuters was incorrect</w:t>
      </w:r>
      <w:r>
        <w:rPr>
          <w:rFonts w:cs="Arial" w:ascii="Arial" w:hAnsi="Arial"/>
          <w:color w:val="000080"/>
          <w:sz w:val="24"/>
        </w:rPr>
        <w:t xml:space="preserve"> in reporting a fire at</w:t>
      </w:r>
    </w:p>
    <w:p>
      <w:pPr>
        <w:pStyle w:val="Normal"/>
        <w:autoSpaceDE w:val="false"/>
        <w:ind w:hanging="200" w:start="200" w:end="0"/>
        <w:rPr>
          <w:rFonts w:ascii="Arial" w:hAnsi="Arial" w:cs="Arial"/>
          <w:color w:val="000080"/>
          <w:sz w:val="24"/>
        </w:rPr>
      </w:pPr>
      <w:r>
        <w:rPr>
          <w:rFonts w:cs="Arial" w:ascii="Arial" w:hAnsi="Arial"/>
          <w:color w:val="000080"/>
          <w:sz w:val="24"/>
        </w:rPr>
        <w:t xml:space="preserve">Equilon Martinez.  Our sources got the real story – a catcracker failed during restart and </w:t>
      </w:r>
    </w:p>
    <w:p>
      <w:pPr>
        <w:pStyle w:val="Normal"/>
        <w:autoSpaceDE w:val="false"/>
        <w:ind w:hanging="200" w:start="200" w:end="0"/>
        <w:rPr>
          <w:rFonts w:ascii="Arial" w:hAnsi="Arial" w:cs="Arial"/>
          <w:color w:val="000080"/>
          <w:sz w:val="24"/>
        </w:rPr>
      </w:pPr>
      <w:r>
        <w:rPr>
          <w:rFonts w:cs="Arial" w:ascii="Arial" w:hAnsi="Arial"/>
          <w:color w:val="000080"/>
          <w:sz w:val="24"/>
        </w:rPr>
        <w:t>the resulting process reversal blew catalyst all over Contra Costa county.</w:t>
      </w:r>
    </w:p>
    <w:p>
      <w:pPr>
        <w:pStyle w:val="Normal"/>
        <w:autoSpaceDE w:val="false"/>
        <w:ind w:hanging="200" w:start="200" w:end="0"/>
        <w:rPr>
          <w:rFonts w:ascii="Arial" w:hAnsi="Arial" w:cs="Arial"/>
          <w:color w:val="000080"/>
          <w:sz w:val="24"/>
        </w:rPr>
      </w:pPr>
      <w:r>
        <w:rPr>
          <w:rFonts w:cs="Arial" w:ascii="Arial" w:hAnsi="Arial"/>
          <w:color w:val="000080"/>
          <w:sz w:val="24"/>
        </w:rPr>
      </w:r>
    </w:p>
    <w:p>
      <w:pPr>
        <w:pStyle w:val="Normal"/>
        <w:autoSpaceDE w:val="false"/>
        <w:ind w:hanging="200" w:start="200" w:end="0"/>
        <w:rPr>
          <w:rFonts w:ascii="Arial" w:hAnsi="Arial" w:cs="Arial"/>
          <w:color w:val="000080"/>
          <w:sz w:val="24"/>
        </w:rPr>
      </w:pPr>
      <w:r>
        <w:rPr>
          <w:rFonts w:cs="Arial" w:ascii="Arial" w:hAnsi="Arial"/>
          <w:color w:val="000080"/>
          <w:sz w:val="24"/>
        </w:rPr>
      </w:r>
    </w:p>
    <w:p>
      <w:pPr>
        <w:pStyle w:val="Normal"/>
        <w:autoSpaceDE w:val="false"/>
        <w:rPr/>
      </w:pPr>
      <w:r>
        <w:rPr>
          <w:rFonts w:cs="Arial" w:ascii="Arial" w:hAnsi="Arial"/>
          <w:b/>
          <w:bCs/>
          <w:color w:val="000080"/>
          <w:sz w:val="24"/>
          <w:u w:val="single"/>
        </w:rPr>
        <w:t>Yesterday, ENT investigators uncovered a pattern of as-yet unannounced turnarounds</w:t>
      </w:r>
      <w:r>
        <w:rPr>
          <w:rFonts w:cs="Arial" w:ascii="Arial" w:hAnsi="Arial"/>
          <w:color w:val="000080"/>
          <w:sz w:val="24"/>
        </w:rPr>
        <w:t xml:space="preserve"> tentatively scheduled for Q1 2002 (Koch, Tx; Exxon, LA; Chevron, MS; Valero, TX).  </w:t>
      </w:r>
    </w:p>
    <w:p>
      <w:pPr>
        <w:pStyle w:val="Normal"/>
        <w:autoSpaceDE w:val="false"/>
        <w:rPr>
          <w:rFonts w:ascii="Arial" w:hAnsi="Arial" w:cs="Arial"/>
          <w:color w:val="000080"/>
          <w:sz w:val="24"/>
        </w:rPr>
      </w:pPr>
      <w:r>
        <w:rPr>
          <w:rFonts w:cs="Arial" w:ascii="Arial" w:hAnsi="Arial"/>
          <w:color w:val="000080"/>
          <w:sz w:val="24"/>
        </w:rPr>
      </w:r>
    </w:p>
    <w:p>
      <w:pPr>
        <w:pStyle w:val="Normal"/>
        <w:autoSpaceDE w:val="false"/>
        <w:rPr>
          <w:rFonts w:ascii="Arial" w:hAnsi="Arial" w:cs="Arial"/>
          <w:color w:val="000080"/>
          <w:sz w:val="24"/>
        </w:rPr>
      </w:pPr>
      <w:r>
        <w:rPr>
          <w:rFonts w:cs="Arial" w:ascii="Arial" w:hAnsi="Arial"/>
          <w:color w:val="000080"/>
          <w:sz w:val="24"/>
        </w:rPr>
      </w:r>
    </w:p>
    <w:p>
      <w:pPr>
        <w:pStyle w:val="Normal"/>
        <w:pBdr>
          <w:top w:val="single" w:sz="18" w:space="1" w:color="000000" w:shadow="1"/>
          <w:left w:val="single" w:sz="18" w:space="4" w:color="000000" w:shadow="1"/>
          <w:bottom w:val="single" w:sz="18" w:space="1" w:color="000000" w:shadow="1"/>
          <w:right w:val="single" w:sz="18" w:space="4" w:color="000000" w:shadow="1"/>
        </w:pBdr>
        <w:shd w:fill="E6E6E6" w:val="clear"/>
        <w:autoSpaceDE w:val="false"/>
        <w:rPr>
          <w:rFonts w:ascii="Arial" w:hAnsi="Arial" w:cs="Arial"/>
          <w:b/>
          <w:bCs/>
          <w:color w:val="000080"/>
          <w:sz w:val="28"/>
        </w:rPr>
      </w:pPr>
      <w:r>
        <w:rPr>
          <w:rFonts w:cs="Arial" w:ascii="Arial" w:hAnsi="Arial"/>
          <w:b/>
          <w:bCs/>
          <w:color w:val="000080"/>
          <w:sz w:val="28"/>
        </w:rPr>
      </w:r>
    </w:p>
    <w:p>
      <w:pPr>
        <w:pStyle w:val="Normal"/>
        <w:pBdr>
          <w:top w:val="single" w:sz="18" w:space="1" w:color="000000" w:shadow="1"/>
          <w:left w:val="single" w:sz="18" w:space="4" w:color="000000" w:shadow="1"/>
          <w:bottom w:val="single" w:sz="18" w:space="1" w:color="000000" w:shadow="1"/>
          <w:right w:val="single" w:sz="18" w:space="4" w:color="000000" w:shadow="1"/>
        </w:pBdr>
        <w:shd w:fill="E6E6E6" w:val="clear"/>
        <w:autoSpaceDE w:val="false"/>
        <w:rPr/>
      </w:pPr>
      <w:r>
        <w:rPr>
          <w:rFonts w:cs="Arial" w:ascii="Arial" w:hAnsi="Arial"/>
          <w:b/>
          <w:bCs/>
          <w:color w:val="000080"/>
          <w:sz w:val="28"/>
        </w:rPr>
        <w:t xml:space="preserve">With this additional information, traders have more complete picture – </w:t>
      </w:r>
      <w:r>
        <w:rPr>
          <w:rFonts w:cs="Arial" w:ascii="Arial" w:hAnsi="Arial"/>
          <w:b/>
          <w:bCs/>
          <w:color w:val="000080"/>
          <w:sz w:val="28"/>
          <w:u w:val="single"/>
        </w:rPr>
        <w:t>ahead of the market</w:t>
      </w:r>
      <w:r>
        <w:rPr>
          <w:rFonts w:cs="Arial" w:ascii="Arial" w:hAnsi="Arial"/>
          <w:b/>
          <w:bCs/>
          <w:color w:val="000080"/>
          <w:sz w:val="28"/>
        </w:rPr>
        <w:t xml:space="preserve"> – on which to base commercial decisions.</w:t>
      </w:r>
    </w:p>
    <w:p>
      <w:pPr>
        <w:pStyle w:val="Normal"/>
        <w:pBdr>
          <w:top w:val="single" w:sz="18" w:space="1" w:color="000000" w:shadow="1"/>
          <w:left w:val="single" w:sz="18" w:space="4" w:color="000000" w:shadow="1"/>
          <w:bottom w:val="single" w:sz="18" w:space="1" w:color="000000" w:shadow="1"/>
          <w:right w:val="single" w:sz="18" w:space="4" w:color="000000" w:shadow="1"/>
        </w:pBdr>
        <w:shd w:fill="E6E6E6" w:val="clear"/>
        <w:autoSpaceDE w:val="false"/>
        <w:rPr>
          <w:rFonts w:ascii="Arial" w:hAnsi="Arial" w:cs="Arial"/>
          <w:b/>
          <w:bCs/>
          <w:color w:val="000080"/>
          <w:sz w:val="28"/>
        </w:rPr>
      </w:pPr>
      <w:r>
        <w:rPr>
          <w:rFonts w:cs="Arial" w:ascii="Arial" w:hAnsi="Arial"/>
          <w:b/>
          <w:bCs/>
          <w:color w:val="000080"/>
          <w:sz w:val="28"/>
        </w:rPr>
      </w:r>
    </w:p>
    <w:p>
      <w:pPr>
        <w:pStyle w:val="Normal"/>
        <w:autoSpaceDE w:val="false"/>
        <w:rPr>
          <w:rFonts w:ascii="Arial" w:hAnsi="Arial" w:cs="Arial"/>
          <w:b/>
          <w:bCs/>
          <w:color w:val="000080"/>
          <w:sz w:val="24"/>
        </w:rPr>
      </w:pPr>
      <w:r>
        <w:rPr>
          <w:rFonts w:cs="Arial" w:ascii="Arial" w:hAnsi="Arial"/>
          <w:b/>
          <w:bCs/>
          <w:color w:val="000080"/>
          <w:sz w:val="24"/>
        </w:rPr>
      </w:r>
    </w:p>
    <w:p>
      <w:pPr>
        <w:pStyle w:val="Normal"/>
        <w:autoSpaceDE w:val="false"/>
        <w:rPr/>
      </w:pPr>
      <w:r>
        <w:rPr>
          <w:rFonts w:cs="Arial" w:ascii="Arial" w:hAnsi="Arial"/>
          <w:b/>
          <w:bCs/>
          <w:color w:val="000080"/>
          <w:sz w:val="24"/>
        </w:rPr>
        <w:t>Future plans</w:t>
      </w:r>
      <w:r>
        <w:rPr>
          <w:rFonts w:cs="Arial" w:ascii="Arial" w:hAnsi="Arial"/>
          <w:color w:val="000080"/>
          <w:sz w:val="24"/>
        </w:rPr>
        <w:t xml:space="preserve">:  We’ve also held discussions with this group about providing a weekly independent audit of petroleum product imports into the US.  This would be an excellent indicator of inventories and may </w:t>
      </w:r>
      <w:r>
        <w:rPr>
          <w:rFonts w:cs="Arial" w:ascii="Arial" w:hAnsi="Arial"/>
          <w:b/>
          <w:bCs/>
          <w:color w:val="000080"/>
          <w:sz w:val="24"/>
          <w:u w:val="single"/>
        </w:rPr>
        <w:t>provide insight into weekly statistical reports.</w:t>
      </w:r>
    </w:p>
    <w:sectPr>
      <w:headerReference w:type="default" r:id="rId4"/>
      <w:footerReference w:type="default" r:id="rId5"/>
      <w:type w:val="nextPage"/>
      <w:pgSz w:w="12240" w:h="15840"/>
      <w:pgMar w:left="1440" w:right="1440" w:gutter="0" w:header="576"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style>
  <w:style w:type="character" w:styleId="WW8Num15z0">
    <w:name w:val="WW8Num15z0"/>
    <w:qFormat/>
    <w:rPr>
      <w:rFonts w:ascii="Symbol" w:hAnsi="Symbol" w:cs="Symbol"/>
      <w:color w:val="auto"/>
      <w:sz w:val="28"/>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sz w:val="16"/>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sz w:val="28"/>
    </w:rPr>
  </w:style>
  <w:style w:type="character" w:styleId="WW8Num84z0">
    <w:name w:val="WW8Num84z0"/>
    <w:qFormat/>
    <w:rPr>
      <w:rFonts w:ascii="Symbol" w:hAnsi="Symbol" w:cs="Symbol"/>
      <w:color w:val="auto"/>
      <w:sz w:val="28"/>
    </w:rPr>
  </w:style>
  <w:style w:type="character" w:styleId="WW8Num85z0">
    <w:name w:val="WW8Num85z0"/>
    <w:qFormat/>
    <w:rPr>
      <w:rFonts w:ascii="Wingdings" w:hAnsi="Wingdings" w:cs="Wingdings"/>
    </w:rPr>
  </w:style>
  <w:style w:type="character" w:styleId="WW8Num86z0">
    <w:name w:val="WW8Num86z0"/>
    <w:qFormat/>
    <w:rPr>
      <w:rFonts w:ascii="Symbol" w:hAnsi="Symbol" w:cs="Symbol"/>
    </w:rPr>
  </w:style>
  <w:style w:type="character" w:styleId="WW8Num87z0">
    <w:name w:val="WW8Num87z0"/>
    <w:qFormat/>
    <w:rPr>
      <w:rFonts w:ascii="Wingdings" w:hAnsi="Wingdings" w:cs="Wingdings"/>
      <w:sz w:val="16"/>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rFonts w:ascii="Wingdings" w:hAnsi="Wingdings" w:cs="Wingdings"/>
    </w:rPr>
  </w:style>
  <w:style w:type="character" w:styleId="WW8Num92z0">
    <w:name w:val="WW8Num92z0"/>
    <w:qFormat/>
    <w:rPr>
      <w:rFonts w:ascii="Symbol" w:hAnsi="Symbol" w:cs="Symbol"/>
      <w:color w:val="auto"/>
      <w:sz w:val="28"/>
    </w:rPr>
  </w:style>
  <w:style w:type="character" w:styleId="WW8Num93z0">
    <w:name w:val="WW8Num93z0"/>
    <w:qFormat/>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6z0">
    <w:name w:val="WW8Num96z0"/>
    <w:qFormat/>
    <w:rPr>
      <w:b/>
      <w:i/>
    </w:rPr>
  </w:style>
  <w:style w:type="character" w:styleId="WW8Num97z0">
    <w:name w:val="WW8Num97z0"/>
    <w:qFormat/>
    <w:rPr>
      <w:rFonts w:ascii="Symbol" w:hAnsi="Symbol" w:cs="Symbol"/>
    </w:rPr>
  </w:style>
  <w:style w:type="character" w:styleId="WW8Num98z0">
    <w:name w:val="WW8Num98z0"/>
    <w:qFormat/>
    <w:rPr>
      <w:rFonts w:ascii="Symbol" w:hAnsi="Symbol" w:cs="Symbol"/>
      <w:color w:val="00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Wingdings" w:hAnsi="Wingdings" w:cs="Wingdings"/>
    </w:rPr>
  </w:style>
  <w:style w:type="character" w:styleId="WW8Num102z0">
    <w:name w:val="WW8Num102z0"/>
    <w:qFormat/>
    <w:rPr>
      <w:rFonts w:ascii="Wingdings" w:hAnsi="Wingdings" w:cs="Wingdings"/>
    </w:rPr>
  </w:style>
  <w:style w:type="character" w:styleId="WW8Num103z0">
    <w:name w:val="WW8Num103z0"/>
    <w:qFormat/>
    <w:rPr>
      <w:rFonts w:ascii="Wingdings" w:hAnsi="Wingdings" w:cs="Wingdings"/>
      <w:color w:val="000000"/>
      <w:sz w:val="16"/>
    </w:rPr>
  </w:style>
  <w:style w:type="character" w:styleId="WW8Num104z0">
    <w:name w:val="WW8Num104z0"/>
    <w:qFormat/>
    <w:rPr>
      <w:rFonts w:ascii="Wingdings" w:hAnsi="Wingdings" w:cs="Wingdings"/>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Wingdings" w:hAnsi="Wingdings" w:cs="Wingdings"/>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Wingdings" w:hAnsi="Wingdings" w:cs="Wingdings"/>
    </w:rPr>
  </w:style>
  <w:style w:type="character" w:styleId="WW8Num127z0">
    <w:name w:val="WW8Num127z0"/>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style>
  <w:style w:type="character" w:styleId="WW8Num133z0">
    <w:name w:val="WW8Num133z0"/>
    <w:qFormat/>
    <w:rPr>
      <w:rFonts w:ascii="Wingdings" w:hAnsi="Wingdings" w:cs="Wingdings"/>
    </w:rPr>
  </w:style>
  <w:style w:type="character" w:styleId="WW8Num134z0">
    <w:name w:val="WW8Num134z0"/>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Wingdings" w:hAnsi="Wingdings" w:cs="Wingdings"/>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2001-10-17T19:13:00Z</dcterms:created>
  <dc:creator>Marissa C. Mariner</dc:creator>
  <dc:description/>
  <dc:language>en-CA</dc:language>
  <cp:lastModifiedBy>cseigle</cp:lastModifiedBy>
  <cp:lastPrinted>2001-10-17T14:27:00Z</cp:lastPrinted>
  <dcterms:modified xsi:type="dcterms:W3CDTF">2001-10-17T19:13:00Z</dcterms:modified>
  <cp:revision>2</cp:revision>
  <dc:subject/>
  <dc:title>Duke Energy</dc:title>
</cp:coreProperties>
</file>