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ENTEX</w:t>
      </w:r>
    </w:p>
    <w:p>
      <w:pPr>
        <w:pStyle w:val="Normal"/>
        <w:rPr/>
      </w:pPr>
      <w:r>
        <w:rPr/>
      </w:r>
    </w:p>
    <w:p>
      <w:pPr>
        <w:pStyle w:val="Normal"/>
        <w:rPr/>
      </w:pPr>
      <w:r>
        <w:rPr/>
      </w:r>
    </w:p>
    <w:p>
      <w:pPr>
        <w:pStyle w:val="Normal"/>
        <w:jc w:val="both"/>
        <w:rPr/>
      </w:pPr>
      <w:r>
        <w:rPr>
          <w:b/>
          <w:sz w:val="24"/>
          <w:u w:val="single"/>
        </w:rPr>
        <w:t>History:</w:t>
      </w:r>
      <w:r>
        <w:rPr>
          <w:sz w:val="24"/>
        </w:rPr>
        <w:t xml:space="preserve">  </w:t>
      </w:r>
    </w:p>
    <w:p>
      <w:pPr>
        <w:pStyle w:val="Normal"/>
        <w:jc w:val="both"/>
        <w:rPr>
          <w:sz w:val="24"/>
        </w:rPr>
      </w:pPr>
      <w:r>
        <w:rPr>
          <w:sz w:val="24"/>
        </w:rPr>
      </w:r>
    </w:p>
    <w:p>
      <w:pPr>
        <w:pStyle w:val="Normal"/>
        <w:jc w:val="both"/>
        <w:rPr>
          <w:sz w:val="24"/>
        </w:rPr>
      </w:pPr>
      <w:r>
        <w:rPr>
          <w:sz w:val="24"/>
        </w:rPr>
        <w:t>Enron North America renegotiated the Entex transaction, signing a 7-year deal on December 28, 1998, effective 4/1/99.  The parties agreed via the master agreement  that Entex would purchase “all of Entex’s natural gas requirements up to 1,000,000 MMBtu per day (with instantaneous swing of up to 1.4 MMBtu per day) for its General Service Customers.  For purposes of the new Master Agreement, ‘ General Service Customers’ means customers served off Houston Pipeline Company (HPL) and MidCon Texas Pipeline Corp. in Entex’s Houston, East Texas and Gulf Coast Divisions who use less than 100 Mcf of gas per day averaged annually for residential, commercial or industrial purposes…”  Excluded from these obligations is “approximately 30 Bcf per year to be purchased from other suppliers at points other than Conroe.”  The term of the agreement is 4/1/99 through 3/31/2006.  The pricing is tiered at index+ and the contract has no minimum takes.  Residential booked volumes (based on a 7 yr. history) range from 44.5 Bcf in the first contract year (4/99 – 3/00) to 51 Bcf in the last contract year (4/05 – 3/06).  The transaction was valued at approximately $72MM.  The attached schedule breaks down the origination and reserves.</w:t>
      </w:r>
    </w:p>
    <w:p>
      <w:pPr>
        <w:pStyle w:val="Normal"/>
        <w:jc w:val="both"/>
        <w:rPr>
          <w:sz w:val="24"/>
        </w:rPr>
      </w:pPr>
      <w:r>
        <w:rPr>
          <w:sz w:val="24"/>
        </w:rPr>
      </w:r>
    </w:p>
    <w:p>
      <w:pPr>
        <w:pStyle w:val="Normal"/>
        <w:jc w:val="both"/>
        <w:rPr>
          <w:sz w:val="24"/>
        </w:rPr>
      </w:pPr>
      <w:r>
        <w:rPr>
          <w:sz w:val="24"/>
        </w:rPr>
        <w:t>The contract with Entex prior to the above contract contained minimum winter takes.  In the final contract year of 4/98 – 3/99, Entex did NOT take the minimums, shorting ENA by approximately 6 Bcf.  In 3/99, a one-year extension was negotiated, extending the term through 3/07 and relieving Entex of the underburn.  When booked, the same assumptions and reserves were included.  The transaction was valued at approximately $16MM.  The Texas Desk received $5,723,922 to cover the underburn.  The attached schedule breaks down the origination and reserves.</w:t>
      </w:r>
    </w:p>
    <w:p>
      <w:pPr>
        <w:pStyle w:val="Normal"/>
        <w:jc w:val="both"/>
        <w:rPr>
          <w:sz w:val="24"/>
        </w:rPr>
      </w:pPr>
      <w:r>
        <w:rPr>
          <w:sz w:val="24"/>
        </w:rPr>
      </w:r>
    </w:p>
    <w:p>
      <w:pPr>
        <w:pStyle w:val="Normal"/>
        <w:jc w:val="both"/>
        <w:rPr>
          <w:sz w:val="24"/>
        </w:rPr>
      </w:pPr>
      <w:r>
        <w:rPr>
          <w:sz w:val="24"/>
        </w:rPr>
      </w:r>
    </w:p>
    <w:p>
      <w:pPr>
        <w:pStyle w:val="Normal"/>
        <w:jc w:val="both"/>
        <w:rPr>
          <w:b/>
          <w:sz w:val="24"/>
          <w:u w:val="single"/>
        </w:rPr>
      </w:pPr>
      <w:r>
        <w:rPr>
          <w:b/>
          <w:sz w:val="24"/>
          <w:u w:val="single"/>
        </w:rPr>
        <w:t>Reserves:</w:t>
      </w:r>
    </w:p>
    <w:p>
      <w:pPr>
        <w:pStyle w:val="Normal"/>
        <w:jc w:val="both"/>
        <w:rPr>
          <w:b/>
          <w:sz w:val="24"/>
          <w:u w:val="single"/>
        </w:rPr>
      </w:pPr>
      <w:r>
        <w:rPr>
          <w:b/>
          <w:sz w:val="24"/>
          <w:u w:val="single"/>
        </w:rPr>
      </w:r>
    </w:p>
    <w:p>
      <w:pPr>
        <w:pStyle w:val="Normal"/>
        <w:numPr>
          <w:ilvl w:val="0"/>
          <w:numId w:val="7"/>
        </w:numPr>
        <w:tabs>
          <w:tab w:val="clear" w:pos="720"/>
          <w:tab w:val="left" w:pos="405" w:leader="none"/>
        </w:tabs>
        <w:ind w:hanging="360" w:start="405" w:end="0"/>
        <w:jc w:val="both"/>
        <w:rPr>
          <w:sz w:val="24"/>
        </w:rPr>
      </w:pPr>
      <w:r>
        <w:rPr>
          <w:b/>
          <w:sz w:val="24"/>
          <w:u w:val="single"/>
        </w:rPr>
        <w:t>Desk Management Fee (including Reduction of “Call Value”)</w:t>
      </w:r>
      <w:r>
        <w:rPr>
          <w:sz w:val="24"/>
        </w:rPr>
        <w:t xml:space="preserve"> – Each winter season the Entex deal requires approximately 40 BCF in storage to fulfill 72% of the instantaneous swing of 1.4 BCF allowed in the deal; leaving the Texas Desk at risk for the balance.  Historically, Entex has only used about 14 BCF of the 40 BCF.  The remaining 26 BCF can not be sold baseload and must be sold on a daily basis requiring the purchase of a put (Dec – Feb) priced with the Gas Daily book at a cost of $.25/MMBtu.  The Desk has offset some of this cost by crediting back $.10/MMBtu to the deal for off-peak storage flexibility and month-to-month optionality when Entex is not peaking..  In addition, this prudency compensates the Desk for added risk associated with storage withdrawal assumptions being changed to maximize storage spreads leaving less deliverability at the end of each winter season.</w:t>
      </w:r>
    </w:p>
    <w:p>
      <w:pPr>
        <w:pStyle w:val="Normal"/>
        <w:jc w:val="both"/>
        <w:rPr>
          <w:sz w:val="24"/>
        </w:rPr>
      </w:pPr>
      <w:r>
        <w:rPr>
          <w:sz w:val="24"/>
        </w:rPr>
      </w:r>
    </w:p>
    <w:p>
      <w:pPr>
        <w:pStyle w:val="Normal"/>
        <w:jc w:val="both"/>
        <w:rPr>
          <w:sz w:val="24"/>
        </w:rPr>
      </w:pPr>
      <w:r>
        <w:rPr>
          <w:sz w:val="24"/>
        </w:rPr>
        <w:tab/>
        <w:tab/>
        <w:tab/>
        <w:t>The Net PV for 8 years</w:t>
        <w:tab/>
        <w:tab/>
        <w:t>$33,454,507</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These reserves were re-evaluated in 12/99, based on the following rationale provided to Arthur Andersen:</w:t>
      </w:r>
    </w:p>
    <w:p>
      <w:pPr>
        <w:pStyle w:val="Normal"/>
        <w:jc w:val="both"/>
        <w:rPr>
          <w:sz w:val="24"/>
        </w:rPr>
      </w:pPr>
      <w:r>
        <w:rPr>
          <w:sz w:val="24"/>
        </w:rPr>
      </w:r>
    </w:p>
    <w:p>
      <w:pPr>
        <w:pStyle w:val="Normal"/>
        <w:numPr>
          <w:ilvl w:val="0"/>
          <w:numId w:val="6"/>
        </w:numPr>
        <w:jc w:val="both"/>
        <w:rPr>
          <w:sz w:val="24"/>
        </w:rPr>
      </w:pPr>
      <w:r>
        <w:rPr>
          <w:sz w:val="24"/>
        </w:rPr>
        <w:t>Improvements have been made to the Bammel facilities over the past 18 to 24 months.  These include the Bammel Loop facilities and the repiping for electrical compression.  Although Bammel Loop facilities were in place for the 1998-99 winter season, no efficiencies were included in the assumptions for structuring Entex.  The revaluation includes the efficiencies realized and projected for the next 8 winter seasons.</w:t>
      </w:r>
    </w:p>
    <w:p>
      <w:pPr>
        <w:pStyle w:val="Normal"/>
        <w:numPr>
          <w:ilvl w:val="0"/>
          <w:numId w:val="6"/>
        </w:numPr>
        <w:jc w:val="both"/>
        <w:rPr>
          <w:sz w:val="24"/>
        </w:rPr>
      </w:pPr>
      <w:r>
        <w:rPr>
          <w:sz w:val="24"/>
        </w:rPr>
        <w:t>The marketplace has changed.  The bottleneck on the Texas grid has opened up, allowing more flexibility on the interstates to the West, Central and East.  The prior constraints included in the pricing of Entex have been alleviated.</w:t>
      </w:r>
    </w:p>
    <w:p>
      <w:pPr>
        <w:pStyle w:val="Normal"/>
        <w:numPr>
          <w:ilvl w:val="0"/>
          <w:numId w:val="6"/>
        </w:numPr>
        <w:jc w:val="both"/>
        <w:rPr>
          <w:sz w:val="24"/>
        </w:rPr>
      </w:pPr>
      <w:r>
        <w:rPr>
          <w:sz w:val="24"/>
        </w:rPr>
        <w:t xml:space="preserve"> </w:t>
      </w:r>
      <w:r>
        <w:rPr>
          <w:sz w:val="24"/>
        </w:rPr>
        <w:t>Fundamentally, the $.25/MMBtu put priced in 1998 is a financial put.  The offsetting $.10/MMBtu call is really a PHYSICAL option, which doesn’t truly behave as a financial call would.  When these were valued in 1998, the physical was degraded substantially.  This has been revalued to $.16/MMBtu.</w:t>
      </w:r>
    </w:p>
    <w:p>
      <w:pPr>
        <w:pStyle w:val="Normal"/>
        <w:numPr>
          <w:ilvl w:val="0"/>
          <w:numId w:val="6"/>
        </w:numPr>
        <w:jc w:val="both"/>
        <w:rPr>
          <w:sz w:val="24"/>
        </w:rPr>
      </w:pPr>
      <w:r>
        <w:rPr>
          <w:sz w:val="24"/>
        </w:rPr>
        <w:t>Bammel is being operated more efficiently.  Withdrawals throughout the reservoir rather than just in the middle have improved deliverablility.  These efficiencies were not priced in the Entex deal in 1998.</w:t>
      </w:r>
    </w:p>
    <w:p>
      <w:pPr>
        <w:pStyle w:val="Normal"/>
        <w:jc w:val="both"/>
        <w:rPr>
          <w:sz w:val="24"/>
        </w:rPr>
      </w:pPr>
      <w:r>
        <w:rPr>
          <w:sz w:val="24"/>
        </w:rPr>
      </w:r>
    </w:p>
    <w:p>
      <w:pPr>
        <w:pStyle w:val="Normal"/>
        <w:jc w:val="both"/>
        <w:rPr>
          <w:sz w:val="24"/>
        </w:rPr>
      </w:pPr>
      <w:r>
        <w:rPr>
          <w:sz w:val="24"/>
        </w:rPr>
        <w:t>As a result, $9,285,786 was released from the reserve, and recognized as earnings on the Texas Desk for 12/99.</w:t>
      </w:r>
    </w:p>
    <w:p>
      <w:pPr>
        <w:pStyle w:val="Normal"/>
        <w:jc w:val="both"/>
        <w:rPr>
          <w:sz w:val="24"/>
        </w:rPr>
      </w:pPr>
      <w:r>
        <w:rPr>
          <w:sz w:val="24"/>
        </w:rPr>
      </w:r>
    </w:p>
    <w:p>
      <w:pPr>
        <w:pStyle w:val="Normal"/>
        <w:jc w:val="both"/>
        <w:rPr>
          <w:sz w:val="24"/>
        </w:rPr>
      </w:pPr>
      <w:r>
        <w:rPr>
          <w:sz w:val="24"/>
        </w:rPr>
        <w:tab/>
        <w:tab/>
        <w:t>REMAINING RESERVE</w:t>
        <w:tab/>
        <w:tab/>
        <w:t>$24,168,721</w:t>
      </w:r>
    </w:p>
    <w:p>
      <w:pPr>
        <w:pStyle w:val="Normal"/>
        <w:jc w:val="both"/>
        <w:rPr>
          <w:sz w:val="24"/>
        </w:rPr>
      </w:pPr>
      <w:r>
        <w:rPr>
          <w:sz w:val="24"/>
        </w:rPr>
        <w:tab/>
        <w:tab/>
        <w:tab/>
        <w:t>(Prior to ’99 – ’00 winter liquidation)</w:t>
      </w:r>
    </w:p>
    <w:p>
      <w:pPr>
        <w:pStyle w:val="Normal"/>
        <w:jc w:val="both"/>
        <w:rPr>
          <w:sz w:val="24"/>
        </w:rPr>
      </w:pPr>
      <w:r>
        <w:rPr>
          <w:sz w:val="24"/>
        </w:rPr>
      </w:r>
    </w:p>
    <w:p>
      <w:pPr>
        <w:pStyle w:val="Normal"/>
        <w:jc w:val="both"/>
        <w:rPr>
          <w:sz w:val="24"/>
        </w:rPr>
      </w:pPr>
      <w:r>
        <w:rPr>
          <w:sz w:val="24"/>
        </w:rPr>
      </w:r>
    </w:p>
    <w:p>
      <w:pPr>
        <w:pStyle w:val="Normal"/>
        <w:numPr>
          <w:ilvl w:val="0"/>
          <w:numId w:val="7"/>
        </w:numPr>
        <w:jc w:val="both"/>
        <w:rPr>
          <w:sz w:val="24"/>
        </w:rPr>
      </w:pPr>
      <w:r>
        <w:rPr>
          <w:b/>
          <w:sz w:val="24"/>
          <w:u w:val="single"/>
        </w:rPr>
        <w:t>Regulatory Reserve</w:t>
      </w:r>
      <w:r>
        <w:rPr>
          <w:sz w:val="24"/>
        </w:rPr>
        <w:t xml:space="preserve"> – Per Price Renegotiation Option Letter dated 12/29/98, Entex was provided the option for a pricing renegotiation based upon certain, specified milestones pertaining to the Texas legislature electric deregulation bill.  These monies were set aside to cover the potential exercise of the option.</w:t>
      </w:r>
    </w:p>
    <w:p>
      <w:pPr>
        <w:pStyle w:val="Normal"/>
        <w:ind w:start="2160" w:end="0"/>
        <w:jc w:val="both"/>
        <w:rPr>
          <w:sz w:val="24"/>
        </w:rPr>
      </w:pPr>
      <w:r>
        <w:rPr>
          <w:sz w:val="24"/>
        </w:rPr>
        <w:t xml:space="preserve">The Net PV </w:t>
        <w:tab/>
        <w:tab/>
        <w:tab/>
        <w:t>$6,658,324</w:t>
      </w:r>
    </w:p>
    <w:p>
      <w:pPr>
        <w:pStyle w:val="Normal"/>
        <w:ind w:start="390" w:end="0"/>
        <w:jc w:val="both"/>
        <w:rPr>
          <w:sz w:val="24"/>
        </w:rPr>
      </w:pPr>
      <w:r>
        <w:rPr>
          <w:sz w:val="24"/>
        </w:rPr>
        <w:t>These reserves were re-evaluated and were released and recognized as earnings through origination (East Origination team) in 3/99.</w:t>
      </w:r>
    </w:p>
    <w:p>
      <w:pPr>
        <w:pStyle w:val="Normal"/>
        <w:ind w:start="390" w:end="0"/>
        <w:jc w:val="both"/>
        <w:rPr>
          <w:sz w:val="24"/>
        </w:rPr>
      </w:pPr>
      <w:r>
        <w:rPr>
          <w:sz w:val="24"/>
        </w:rPr>
      </w:r>
    </w:p>
    <w:p>
      <w:pPr>
        <w:pStyle w:val="Normal"/>
        <w:numPr>
          <w:ilvl w:val="0"/>
          <w:numId w:val="7"/>
        </w:numPr>
        <w:jc w:val="both"/>
        <w:rPr>
          <w:sz w:val="24"/>
        </w:rPr>
      </w:pPr>
      <w:r>
        <w:rPr>
          <w:b/>
          <w:sz w:val="24"/>
          <w:u w:val="single"/>
        </w:rPr>
        <w:t xml:space="preserve">Underburn (Volumetric Reserve) </w:t>
      </w:r>
      <w:r>
        <w:rPr>
          <w:sz w:val="24"/>
        </w:rPr>
        <w:t>– This contract has NO minimum takes.  Entex volumes were marked based on a seven year historical average (contract contained minimum takes), escalated by 1% for population growth.  In an effort to alleviate some of the volumetric risk associated with mild winter seasons and no minimum takes, the Texas Desk received an amount equal to 10% of the 1999 value.  The intent is for this reserve to minimize some of the underburn risk over the eight years of the deal.  Once taken, P&amp;L swings will be incurred for volumetric differences from the booked volumes.  (Currently on Schedule C @ a value of $3,221,921)</w:t>
      </w:r>
    </w:p>
    <w:p>
      <w:pPr>
        <w:pStyle w:val="Normal"/>
        <w:jc w:val="both"/>
        <w:rPr>
          <w:sz w:val="24"/>
        </w:rPr>
      </w:pPr>
      <w:r>
        <w:rPr>
          <w:sz w:val="24"/>
        </w:rPr>
      </w:r>
    </w:p>
    <w:p>
      <w:pPr>
        <w:pStyle w:val="Normal"/>
        <w:ind w:start="2160" w:end="0"/>
        <w:jc w:val="both"/>
        <w:rPr>
          <w:sz w:val="24"/>
        </w:rPr>
      </w:pPr>
      <w:r>
        <w:rPr>
          <w:sz w:val="24"/>
        </w:rPr>
        <w:t>The Net PV for 8 years</w:t>
        <w:tab/>
        <w:tab/>
        <w:t>$3,228,960</w:t>
      </w:r>
    </w:p>
    <w:p>
      <w:pPr>
        <w:pStyle w:val="Normal"/>
        <w:jc w:val="both"/>
        <w:rPr>
          <w:sz w:val="24"/>
        </w:rPr>
      </w:pPr>
      <w:r>
        <w:rPr>
          <w:sz w:val="24"/>
        </w:rPr>
      </w:r>
    </w:p>
    <w:p>
      <w:pPr>
        <w:pStyle w:val="Normal"/>
        <w:jc w:val="both"/>
        <w:rPr>
          <w:sz w:val="24"/>
        </w:rPr>
      </w:pPr>
      <w:r>
        <w:rPr>
          <w:sz w:val="24"/>
        </w:rPr>
      </w:r>
    </w:p>
    <w:p>
      <w:pPr>
        <w:pStyle w:val="Normal"/>
        <w:numPr>
          <w:ilvl w:val="0"/>
          <w:numId w:val="9"/>
        </w:numPr>
        <w:jc w:val="both"/>
        <w:rPr>
          <w:sz w:val="24"/>
        </w:rPr>
      </w:pPr>
      <w:r>
        <w:rPr>
          <w:b/>
          <w:sz w:val="24"/>
          <w:u w:val="single"/>
        </w:rPr>
        <w:t>Gas Daily Call (Cap) Premium</w:t>
      </w:r>
      <w:r>
        <w:rPr>
          <w:sz w:val="24"/>
        </w:rPr>
        <w:t xml:space="preserve"> – In an effort to reduce the amount of storage required to serve this deal, a gas daily tier was placed on winter (Nov – Mar) volumes.  Any volumes over the predetermined index tier are to be priced at GDHSC + $.10.  Then a GD Cap was purchased by Entex with a strike price of (IFHSC + $.769) * 300%.  Since the Texas Desk is exposed to the GD Cap, the Desk priced the Cap at $500,000 each winter.  </w:t>
      </w:r>
    </w:p>
    <w:p>
      <w:pPr>
        <w:pStyle w:val="Normal"/>
        <w:jc w:val="both"/>
        <w:rPr>
          <w:sz w:val="24"/>
        </w:rPr>
      </w:pPr>
      <w:r>
        <w:rPr>
          <w:sz w:val="24"/>
        </w:rPr>
      </w:r>
    </w:p>
    <w:p>
      <w:pPr>
        <w:pStyle w:val="Heading1"/>
        <w:ind w:hanging="0" w:start="0"/>
        <w:rPr/>
      </w:pPr>
      <w:r>
        <w:rPr/>
        <w:tab/>
        <w:tab/>
        <w:tab/>
        <w:t>The Net PV for 8 years</w:t>
        <w:tab/>
        <w:tab/>
        <w:t>$2,867,37</w:t>
      </w:r>
    </w:p>
    <w:p>
      <w:pPr>
        <w:pStyle w:val="Normal"/>
        <w:tabs>
          <w:tab w:val="clear" w:pos="720"/>
          <w:tab w:val="left" w:pos="840" w:leader="none"/>
        </w:tabs>
        <w:jc w:val="both"/>
        <w:rPr>
          <w:sz w:val="24"/>
        </w:rPr>
      </w:pPr>
      <w:r>
        <w:rPr>
          <w:sz w:val="24"/>
        </w:rPr>
      </w:r>
    </w:p>
    <w:p>
      <w:pPr>
        <w:pStyle w:val="Normal"/>
        <w:numPr>
          <w:ilvl w:val="0"/>
          <w:numId w:val="4"/>
        </w:numPr>
        <w:jc w:val="both"/>
        <w:rPr>
          <w:sz w:val="24"/>
        </w:rPr>
      </w:pPr>
      <w:r>
        <w:rPr>
          <w:b/>
          <w:sz w:val="24"/>
          <w:u w:val="single"/>
        </w:rPr>
        <w:t>Other Reserves</w:t>
      </w:r>
      <w:r>
        <w:rPr>
          <w:sz w:val="24"/>
        </w:rPr>
        <w:t xml:space="preserve"> – Monies were set aside for Interest Rates ($1,550,000) and an Industrial Discount Reserve ($1,000,000).  Both were released in 1999.</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both"/>
        <w:rPr>
          <w:b/>
          <w:sz w:val="24"/>
          <w:u w:val="single"/>
        </w:rPr>
      </w:pPr>
      <w:r>
        <w:rPr>
          <w:b/>
          <w:sz w:val="24"/>
          <w:u w:val="single"/>
        </w:rPr>
        <w:t>Originations:</w:t>
      </w:r>
    </w:p>
    <w:p>
      <w:pPr>
        <w:pStyle w:val="Normal"/>
        <w:jc w:val="both"/>
        <w:rPr>
          <w:b/>
          <w:sz w:val="24"/>
          <w:u w:val="single"/>
        </w:rPr>
      </w:pPr>
      <w:r>
        <w:rPr>
          <w:b/>
          <w:sz w:val="24"/>
          <w:u w:val="single"/>
        </w:rPr>
      </w:r>
    </w:p>
    <w:p>
      <w:pPr>
        <w:pStyle w:val="Normal"/>
        <w:jc w:val="both"/>
        <w:rPr>
          <w:sz w:val="24"/>
        </w:rPr>
      </w:pPr>
      <w:r>
        <w:rPr>
          <w:sz w:val="24"/>
        </w:rPr>
        <w:t>The East Origination team (Jim Ducote) received $14,500,000 in 1998 for the 7-year deal, and $5,710,026 in 1999 for the 1-year extension, for a total of $20,210,026.</w:t>
      </w:r>
    </w:p>
    <w:p>
      <w:pPr>
        <w:pStyle w:val="Normal"/>
        <w:jc w:val="both"/>
        <w:rPr>
          <w:sz w:val="24"/>
        </w:rPr>
      </w:pPr>
      <w:r>
        <w:rPr>
          <w:sz w:val="24"/>
        </w:rPr>
      </w:r>
    </w:p>
    <w:p>
      <w:pPr>
        <w:pStyle w:val="Normal"/>
        <w:jc w:val="both"/>
        <w:rPr>
          <w:sz w:val="24"/>
        </w:rPr>
      </w:pPr>
      <w:r>
        <w:rPr>
          <w:sz w:val="24"/>
        </w:rPr>
        <w:t xml:space="preserve">Middle Market Texas (Tom Martin) received $15,500,000 in 1998 for the 7-year deal. </w:t>
      </w:r>
    </w:p>
    <w:p>
      <w:pPr>
        <w:pStyle w:val="Normal"/>
        <w:jc w:val="both"/>
        <w:rPr>
          <w:sz w:val="24"/>
        </w:rPr>
      </w:pPr>
      <w:r>
        <w:rPr>
          <w:sz w:val="24"/>
        </w:rPr>
      </w:r>
    </w:p>
    <w:p>
      <w:pPr>
        <w:pStyle w:val="Normal"/>
        <w:jc w:val="both"/>
        <w:rPr>
          <w:sz w:val="24"/>
        </w:rPr>
      </w:pPr>
      <w:r>
        <w:rPr>
          <w:sz w:val="24"/>
        </w:rPr>
      </w:r>
    </w:p>
    <w:p>
      <w:pPr>
        <w:pStyle w:val="Normal"/>
        <w:jc w:val="both"/>
        <w:rPr>
          <w:b/>
          <w:sz w:val="24"/>
          <w:u w:val="single"/>
        </w:rPr>
      </w:pPr>
      <w:r>
        <w:rPr>
          <w:b/>
          <w:sz w:val="24"/>
          <w:u w:val="single"/>
        </w:rPr>
        <w:t>Additional Risks of the Deal:</w:t>
      </w:r>
    </w:p>
    <w:p>
      <w:pPr>
        <w:pStyle w:val="Normal"/>
        <w:jc w:val="both"/>
        <w:rPr>
          <w:b/>
          <w:sz w:val="24"/>
          <w:u w:val="single"/>
        </w:rPr>
      </w:pPr>
      <w:r>
        <w:rPr>
          <w:b/>
          <w:sz w:val="24"/>
          <w:u w:val="single"/>
        </w:rPr>
      </w:r>
    </w:p>
    <w:p>
      <w:pPr>
        <w:pStyle w:val="Normal"/>
        <w:numPr>
          <w:ilvl w:val="0"/>
          <w:numId w:val="2"/>
        </w:numPr>
        <w:jc w:val="both"/>
        <w:rPr>
          <w:sz w:val="24"/>
        </w:rPr>
      </w:pPr>
      <w:r>
        <w:rPr>
          <w:sz w:val="24"/>
        </w:rPr>
        <w:t xml:space="preserve">The new contract has NO minimum take requirements by Entex like the preceding contract established.  Entex does have contracts with other suppliers such as MidCon that do contain winter take requirements.  Booked volumes are based on historical performance, but have not mirrored the performance in the last two winter contract years. The Underburn (Volumetric Reserve) was established to offset this risk. However, the losses of each of the past two winter seasons have exceeded the reserve. The loss between booked and actual volumes was approximately $11.7MM and $7MM for the winter seasons of 11/98 – 3/99 and 11/99 – 3/00, respectively. The audit will gather data to help the Desk project anticipated load needs under the current contractual arrangements.  </w:t>
      </w:r>
    </w:p>
    <w:p>
      <w:pPr>
        <w:pStyle w:val="Normal"/>
        <w:numPr>
          <w:ilvl w:val="0"/>
          <w:numId w:val="2"/>
        </w:numPr>
        <w:jc w:val="both"/>
        <w:rPr>
          <w:sz w:val="24"/>
        </w:rPr>
      </w:pPr>
      <w:r>
        <w:rPr>
          <w:sz w:val="24"/>
        </w:rPr>
        <w:t>Approximately 30 BCF is carved out of the full requirements. Although the contract states it is a “full requirements” contract, ENA must perform an audit to ensure compliance, incurring additional costs.  The audit will target this area to validate the first contract year performance as well to identify ways to monitor compliance going forward.</w:t>
      </w:r>
    </w:p>
    <w:p>
      <w:pPr>
        <w:pStyle w:val="Normal"/>
        <w:numPr>
          <w:ilvl w:val="0"/>
          <w:numId w:val="2"/>
        </w:numPr>
        <w:jc w:val="both"/>
        <w:rPr>
          <w:sz w:val="24"/>
        </w:rPr>
      </w:pPr>
      <w:r>
        <w:rPr>
          <w:sz w:val="24"/>
        </w:rPr>
        <w:t xml:space="preserve">Summer/Winter Spreads – Reserves of approximately $2MM were booked to the storage book to cover the summer/winter spreads.  As indicated on the next page, the actual losses for these spreads are significantly larger.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b/>
          <w:sz w:val="24"/>
          <w:u w:val="single"/>
        </w:rPr>
      </w:pPr>
      <w:r>
        <w:rPr>
          <w:b/>
          <w:sz w:val="24"/>
          <w:u w:val="single"/>
        </w:rPr>
        <w:t>Unforeseen Risks of the Deal:</w:t>
      </w:r>
    </w:p>
    <w:p>
      <w:pPr>
        <w:pStyle w:val="Normal"/>
        <w:jc w:val="both"/>
        <w:rPr>
          <w:b/>
          <w:sz w:val="24"/>
          <w:u w:val="single"/>
        </w:rPr>
      </w:pPr>
      <w:r>
        <w:rPr>
          <w:b/>
          <w:sz w:val="24"/>
          <w:u w:val="single"/>
        </w:rPr>
      </w:r>
    </w:p>
    <w:p>
      <w:pPr>
        <w:pStyle w:val="Normal"/>
        <w:jc w:val="both"/>
        <w:rPr>
          <w:sz w:val="24"/>
        </w:rPr>
      </w:pPr>
      <w:r>
        <w:rPr>
          <w:sz w:val="24"/>
        </w:rPr>
      </w:r>
    </w:p>
    <w:p>
      <w:pPr>
        <w:pStyle w:val="Normal"/>
        <w:jc w:val="both"/>
        <w:rPr>
          <w:sz w:val="24"/>
        </w:rPr>
      </w:pPr>
      <w:r>
        <w:rPr>
          <w:sz w:val="24"/>
        </w:rPr>
        <w:t xml:space="preserve">There is a perception by ENA that Entex may feel that ENA sold them a stradle option, allowing for pricing arbitrage opportunities.  Discussions with Entex on daily load volumes has indicated that their nomination is dependent on market pricing and sensitivities as opposed to pilot load.  ENA’s understanding of the contract is that the volume load would be affected by population growth and weather, rather than market volatility.  The audit will gather data to validate this perception.  Additionally, the contract documentation is not specific in several areas, which leads to further confusion.  The audit may emphasize the need to re-paper the transaction.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b/>
          <w:sz w:val="24"/>
          <w:u w:val="single"/>
        </w:rPr>
      </w:pPr>
      <w:r>
        <w:rPr>
          <w:b/>
          <w:sz w:val="24"/>
          <w:u w:val="single"/>
        </w:rPr>
        <w:t>Current Exposures from first contract year (4/99 – 3/00):</w:t>
      </w:r>
    </w:p>
    <w:p>
      <w:pPr>
        <w:pStyle w:val="Normal"/>
        <w:jc w:val="both"/>
        <w:rPr>
          <w:b/>
          <w:sz w:val="24"/>
          <w:u w:val="single"/>
        </w:rPr>
      </w:pPr>
      <w:r>
        <w:rPr>
          <w:b/>
          <w:sz w:val="24"/>
          <w:u w:val="single"/>
        </w:rPr>
      </w:r>
    </w:p>
    <w:p>
      <w:pPr>
        <w:pStyle w:val="Normal"/>
        <w:jc w:val="both"/>
        <w:rPr>
          <w:sz w:val="24"/>
        </w:rPr>
      </w:pPr>
      <w:r>
        <w:rPr>
          <w:sz w:val="24"/>
        </w:rPr>
        <w:t>Underburn (compared to booked volume):</w:t>
      </w:r>
    </w:p>
    <w:p>
      <w:pPr>
        <w:pStyle w:val="Normal"/>
        <w:ind w:firstLine="720" w:start="720" w:end="0"/>
        <w:jc w:val="both"/>
        <w:rPr>
          <w:sz w:val="24"/>
        </w:rPr>
      </w:pPr>
      <w:r>
        <w:rPr>
          <w:sz w:val="24"/>
        </w:rPr>
        <w:t>1999 – 2000 Contract Year</w:t>
        <w:tab/>
        <w:tab/>
        <w:t xml:space="preserve"> 7,287,100 MMBtu</w:t>
      </w:r>
    </w:p>
    <w:p>
      <w:pPr>
        <w:pStyle w:val="Normal"/>
        <w:ind w:firstLine="720" w:start="720" w:end="0"/>
        <w:jc w:val="both"/>
        <w:rPr>
          <w:sz w:val="24"/>
        </w:rPr>
      </w:pPr>
      <w:r>
        <w:rPr>
          <w:sz w:val="24"/>
        </w:rPr>
        <w:t>Nov, ’99 – Mar, ’00</w:t>
        <w:tab/>
        <w:tab/>
        <w:tab/>
        <w:t>10,332,789 MMBtu</w:t>
        <w:tab/>
      </w:r>
    </w:p>
    <w:p>
      <w:pPr>
        <w:pStyle w:val="Normal"/>
        <w:jc w:val="both"/>
        <w:rPr>
          <w:sz w:val="24"/>
        </w:rPr>
      </w:pPr>
      <w:r>
        <w:rPr>
          <w:sz w:val="24"/>
        </w:rPr>
      </w:r>
    </w:p>
    <w:p>
      <w:pPr>
        <w:pStyle w:val="Normal"/>
        <w:jc w:val="both"/>
        <w:rPr>
          <w:sz w:val="24"/>
        </w:rPr>
      </w:pPr>
      <w:r>
        <w:rPr>
          <w:sz w:val="24"/>
        </w:rPr>
        <w:t>Summer/Winter Spread Loss (for 8 years):</w:t>
      </w:r>
    </w:p>
    <w:p>
      <w:pPr>
        <w:pStyle w:val="Normal"/>
        <w:jc w:val="both"/>
        <w:rPr>
          <w:sz w:val="24"/>
        </w:rPr>
      </w:pPr>
      <w:r>
        <w:rPr>
          <w:sz w:val="24"/>
        </w:rPr>
        <w:tab/>
        <w:tab/>
        <w:t>1999 P&amp;L</w:t>
        <w:tab/>
        <w:tab/>
        <w:tab/>
        <w:tab/>
        <w:t>$(10,000,000)</w:t>
      </w:r>
    </w:p>
    <w:p>
      <w:pPr>
        <w:pStyle w:val="Normal"/>
        <w:jc w:val="both"/>
        <w:rPr>
          <w:sz w:val="24"/>
        </w:rPr>
      </w:pPr>
      <w:r>
        <w:rPr>
          <w:sz w:val="24"/>
        </w:rPr>
        <w:tab/>
        <w:tab/>
        <w:t>2000 P&amp;L</w:t>
        <w:tab/>
        <w:tab/>
        <w:tab/>
        <w:tab/>
        <w:t>$ (6,429,346)</w:t>
      </w:r>
    </w:p>
    <w:p>
      <w:pPr>
        <w:pStyle w:val="Normal"/>
        <w:jc w:val="both"/>
        <w:rPr>
          <w:sz w:val="24"/>
        </w:rPr>
      </w:pPr>
      <w:r>
        <w:rPr>
          <w:sz w:val="24"/>
        </w:rPr>
      </w:r>
    </w:p>
    <w:p>
      <w:pPr>
        <w:pStyle w:val="Normal"/>
        <w:ind w:start="720" w:end="0"/>
        <w:jc w:val="both"/>
        <w:rPr>
          <w:sz w:val="24"/>
        </w:rPr>
      </w:pPr>
      <w:r>
        <w:rPr>
          <w:sz w:val="24"/>
        </w:rPr>
        <w:t>(These losses resulted from all activities with Entex.  Some losses resulted from the prior transaction as well as the current transaction.)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b/>
          <w:sz w:val="24"/>
          <w:u w:val="single"/>
        </w:rPr>
      </w:pPr>
      <w:r>
        <w:rPr>
          <w:b/>
          <w:sz w:val="24"/>
          <w:u w:val="single"/>
        </w:rPr>
        <w:t>Entex Audit:</w:t>
      </w:r>
    </w:p>
    <w:p>
      <w:pPr>
        <w:pStyle w:val="Normal"/>
        <w:jc w:val="both"/>
        <w:rPr>
          <w:b/>
          <w:sz w:val="24"/>
          <w:u w:val="single"/>
        </w:rPr>
      </w:pPr>
      <w:r>
        <w:rPr>
          <w:b/>
          <w:sz w:val="24"/>
          <w:u w:val="single"/>
        </w:rPr>
      </w:r>
    </w:p>
    <w:p>
      <w:pPr>
        <w:pStyle w:val="Normal"/>
        <w:jc w:val="both"/>
        <w:rPr>
          <w:sz w:val="24"/>
        </w:rPr>
      </w:pPr>
      <w:r>
        <w:rPr>
          <w:sz w:val="24"/>
        </w:rPr>
        <w:t xml:space="preserve">ENA has noticed Reliant Entex of an impending audit of the first contract year.  The notice was delivered to Mr. Wayne Stinnett, Jr., Sr, Vice President of Entex on April 19, 2000.  The letter was signed by Wes Colwell of ENA. </w:t>
      </w:r>
    </w:p>
    <w:p>
      <w:pPr>
        <w:pStyle w:val="Normal"/>
        <w:jc w:val="both"/>
        <w:rPr>
          <w:sz w:val="24"/>
        </w:rPr>
      </w:pPr>
      <w:r>
        <w:rPr>
          <w:sz w:val="24"/>
        </w:rPr>
      </w:r>
    </w:p>
    <w:p>
      <w:pPr>
        <w:pStyle w:val="Normal"/>
        <w:jc w:val="both"/>
        <w:rPr>
          <w:sz w:val="24"/>
        </w:rPr>
      </w:pPr>
      <w:r>
        <w:rPr>
          <w:sz w:val="24"/>
        </w:rPr>
        <w:t>The audit team is being identified at this time, but the primary participants are:</w:t>
      </w:r>
    </w:p>
    <w:p>
      <w:pPr>
        <w:pStyle w:val="Normal"/>
        <w:jc w:val="both"/>
        <w:rPr>
          <w:sz w:val="24"/>
        </w:rPr>
      </w:pPr>
      <w:r>
        <w:rPr>
          <w:sz w:val="24"/>
        </w:rPr>
      </w:r>
    </w:p>
    <w:p>
      <w:pPr>
        <w:pStyle w:val="Normal"/>
        <w:jc w:val="both"/>
        <w:rPr>
          <w:sz w:val="24"/>
        </w:rPr>
      </w:pPr>
      <w:r>
        <w:rPr>
          <w:sz w:val="24"/>
        </w:rPr>
        <w:t>ENA Employees:</w:t>
      </w:r>
    </w:p>
    <w:p>
      <w:pPr>
        <w:pStyle w:val="Normal"/>
        <w:jc w:val="both"/>
        <w:rPr>
          <w:sz w:val="24"/>
        </w:rPr>
      </w:pPr>
      <w:r>
        <w:rPr>
          <w:sz w:val="24"/>
        </w:rPr>
      </w:r>
    </w:p>
    <w:p>
      <w:pPr>
        <w:pStyle w:val="Normal"/>
        <w:numPr>
          <w:ilvl w:val="0"/>
          <w:numId w:val="8"/>
        </w:numPr>
        <w:jc w:val="both"/>
        <w:rPr>
          <w:sz w:val="24"/>
        </w:rPr>
      </w:pPr>
      <w:r>
        <w:rPr>
          <w:sz w:val="24"/>
        </w:rPr>
        <w:t>Wes Colwell, General Accounting Officer</w:t>
      </w:r>
    </w:p>
    <w:p>
      <w:pPr>
        <w:pStyle w:val="Normal"/>
        <w:numPr>
          <w:ilvl w:val="0"/>
          <w:numId w:val="8"/>
        </w:numPr>
        <w:jc w:val="both"/>
        <w:rPr>
          <w:sz w:val="24"/>
        </w:rPr>
      </w:pPr>
      <w:r>
        <w:rPr>
          <w:sz w:val="24"/>
        </w:rPr>
        <w:t>Brenda Herod, Sr. Director, Energy Operations (Audit Liaison)</w:t>
      </w:r>
    </w:p>
    <w:p>
      <w:pPr>
        <w:pStyle w:val="Normal"/>
        <w:numPr>
          <w:ilvl w:val="0"/>
          <w:numId w:val="8"/>
        </w:numPr>
        <w:jc w:val="both"/>
        <w:rPr>
          <w:sz w:val="24"/>
        </w:rPr>
      </w:pPr>
      <w:r>
        <w:rPr>
          <w:sz w:val="24"/>
        </w:rPr>
        <w:t>Ami Chokshi, Entex Account Manager</w:t>
      </w:r>
    </w:p>
    <w:p>
      <w:pPr>
        <w:pStyle w:val="Normal"/>
        <w:jc w:val="both"/>
        <w:rPr>
          <w:sz w:val="24"/>
        </w:rPr>
      </w:pPr>
      <w:r>
        <w:rPr>
          <w:sz w:val="24"/>
        </w:rPr>
      </w:r>
    </w:p>
    <w:p>
      <w:pPr>
        <w:pStyle w:val="Normal"/>
        <w:jc w:val="both"/>
        <w:rPr>
          <w:sz w:val="24"/>
        </w:rPr>
      </w:pPr>
      <w:r>
        <w:rPr>
          <w:sz w:val="24"/>
        </w:rPr>
        <w:t>Arthur Andersen:</w:t>
      </w:r>
    </w:p>
    <w:p>
      <w:pPr>
        <w:pStyle w:val="Normal"/>
        <w:jc w:val="both"/>
        <w:rPr>
          <w:sz w:val="24"/>
        </w:rPr>
      </w:pPr>
      <w:r>
        <w:rPr>
          <w:sz w:val="24"/>
        </w:rPr>
      </w:r>
    </w:p>
    <w:p>
      <w:pPr>
        <w:pStyle w:val="Normal"/>
        <w:numPr>
          <w:ilvl w:val="0"/>
          <w:numId w:val="5"/>
        </w:numPr>
        <w:tabs>
          <w:tab w:val="clear" w:pos="720"/>
          <w:tab w:val="left" w:pos="1080" w:leader="none"/>
        </w:tabs>
        <w:ind w:hanging="360" w:start="1080" w:end="0"/>
        <w:jc w:val="both"/>
        <w:rPr>
          <w:sz w:val="24"/>
        </w:rPr>
      </w:pPr>
      <w:r>
        <w:rPr>
          <w:sz w:val="24"/>
        </w:rPr>
        <w:t>Danny Rudloff</w:t>
      </w:r>
    </w:p>
    <w:p>
      <w:pPr>
        <w:pStyle w:val="Normal"/>
        <w:numPr>
          <w:ilvl w:val="0"/>
          <w:numId w:val="5"/>
        </w:numPr>
        <w:tabs>
          <w:tab w:val="clear" w:pos="720"/>
          <w:tab w:val="left" w:pos="1080" w:leader="none"/>
        </w:tabs>
        <w:ind w:hanging="360" w:start="1080" w:end="0"/>
        <w:jc w:val="both"/>
        <w:rPr>
          <w:sz w:val="24"/>
        </w:rPr>
      </w:pPr>
      <w:r>
        <w:rPr>
          <w:sz w:val="24"/>
        </w:rPr>
        <w:t>Richard Feldmann</w:t>
      </w:r>
    </w:p>
    <w:p>
      <w:pPr>
        <w:pStyle w:val="Normal"/>
        <w:numPr>
          <w:ilvl w:val="0"/>
          <w:numId w:val="5"/>
        </w:numPr>
        <w:tabs>
          <w:tab w:val="clear" w:pos="720"/>
          <w:tab w:val="left" w:pos="1080" w:leader="none"/>
        </w:tabs>
        <w:ind w:hanging="360" w:start="1080" w:end="0"/>
        <w:jc w:val="both"/>
        <w:rPr>
          <w:sz w:val="24"/>
        </w:rPr>
      </w:pPr>
      <w:r>
        <w:rPr>
          <w:sz w:val="24"/>
        </w:rPr>
        <w:t>Frederick Rhodes (Fred was on the team that performed the prior audit of Entex several years ago.)</w:t>
      </w:r>
    </w:p>
    <w:p>
      <w:pPr>
        <w:pStyle w:val="Normal"/>
        <w:jc w:val="both"/>
        <w:rPr>
          <w:sz w:val="24"/>
        </w:rPr>
      </w:pPr>
      <w:r>
        <w:rPr>
          <w:sz w:val="24"/>
        </w:rPr>
      </w:r>
    </w:p>
    <w:p>
      <w:pPr>
        <w:pStyle w:val="Normal"/>
        <w:jc w:val="both"/>
        <w:rPr>
          <w:sz w:val="24"/>
        </w:rPr>
      </w:pPr>
      <w:r>
        <w:rPr>
          <w:sz w:val="24"/>
        </w:rPr>
        <w:t>The audit is scheduled to begin the week of 5/15/00.  The Arthur Andersen engagement letter is being reviewed currently, including the fee structure. Once the engagement letter is finalized, an opening meeting with Entex will be scheduled.  The audit plan (including the timeline) will be completed after this meeting, depending on the discussions.  Arthur Andersen will gather information in ENA’s office prior to going into Entex’s office.</w:t>
      </w:r>
    </w:p>
    <w:p>
      <w:pPr>
        <w:pStyle w:val="Normal"/>
        <w:jc w:val="both"/>
        <w:rPr>
          <w:sz w:val="24"/>
        </w:rPr>
      </w:pPr>
      <w:r>
        <w:rPr>
          <w:sz w:val="24"/>
        </w:rPr>
      </w:r>
    </w:p>
    <w:p>
      <w:pPr>
        <w:pStyle w:val="Normal"/>
        <w:jc w:val="both"/>
        <w:rPr>
          <w:sz w:val="24"/>
        </w:rPr>
      </w:pPr>
      <w:r>
        <w:rPr>
          <w:sz w:val="24"/>
        </w:rPr>
        <w:t xml:space="preserve">Other initiatives have included an independent review of the contracts by Bracewell and Patterson, coordinated through ENA attorney’s Jeff Hodge and Dan Hyvl.  We are currently pinpointing specific questions and differences in the intent of the contracts.  The documentation will be used by the auditors. </w:t>
      </w:r>
    </w:p>
    <w:p>
      <w:pPr>
        <w:pStyle w:val="Normal"/>
        <w:jc w:val="both"/>
        <w:rPr>
          <w:sz w:val="24"/>
        </w:rPr>
      </w:pPr>
      <w:r>
        <w:rPr>
          <w:sz w:val="24"/>
        </w:rPr>
      </w:r>
    </w:p>
    <w:p>
      <w:pPr>
        <w:pStyle w:val="Normal"/>
        <w:jc w:val="both"/>
        <w:rPr>
          <w:sz w:val="24"/>
        </w:rPr>
      </w:pPr>
      <w:r>
        <w:rPr>
          <w:sz w:val="24"/>
        </w:rPr>
        <w:t>Bracewell &amp; Patterson:</w:t>
      </w:r>
    </w:p>
    <w:p>
      <w:pPr>
        <w:pStyle w:val="Normal"/>
        <w:jc w:val="both"/>
        <w:rPr>
          <w:sz w:val="24"/>
        </w:rPr>
      </w:pPr>
      <w:r>
        <w:rPr>
          <w:sz w:val="24"/>
        </w:rPr>
      </w:r>
    </w:p>
    <w:p>
      <w:pPr>
        <w:pStyle w:val="Normal"/>
        <w:numPr>
          <w:ilvl w:val="0"/>
          <w:numId w:val="3"/>
        </w:numPr>
        <w:jc w:val="both"/>
        <w:rPr>
          <w:sz w:val="24"/>
        </w:rPr>
      </w:pPr>
      <w:r>
        <w:rPr>
          <w:sz w:val="24"/>
        </w:rPr>
        <w:t>Aaron Roffwarg</w:t>
      </w:r>
    </w:p>
    <w:p>
      <w:pPr>
        <w:pStyle w:val="Normal"/>
        <w:numPr>
          <w:ilvl w:val="0"/>
          <w:numId w:val="3"/>
        </w:numPr>
        <w:jc w:val="both"/>
        <w:rPr>
          <w:sz w:val="24"/>
        </w:rPr>
      </w:pPr>
      <w:r>
        <w:rPr>
          <w:sz w:val="24"/>
        </w:rPr>
        <w:t>Jay Sonnenberg</w:t>
      </w:r>
    </w:p>
    <w:p>
      <w:pPr>
        <w:pStyle w:val="Normal"/>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2000"/>
      <w:numFmt w:val="bullet"/>
      <w:lvlText w:val="–"/>
      <w:lvlJc w:val="start"/>
      <w:pPr>
        <w:tabs>
          <w:tab w:val="num" w:pos="1125"/>
        </w:tabs>
        <w:ind w:start="1125" w:hanging="360"/>
      </w:pPr>
      <w:rPr>
        <w:rFonts w:ascii="Liberation Serif" w:hAnsi="Liberation Serif" w:cs="Liberation Serif" w:hint="default"/>
      </w:rPr>
    </w:lvl>
  </w:abstractNum>
  <w:abstractNum w:abstractNumId="4">
    <w:lvl w:ilvl="0">
      <w:start w:val="5"/>
      <w:numFmt w:val="decimal"/>
      <w:lvlText w:val="%1."/>
      <w:lvlJc w:val="start"/>
      <w:pPr>
        <w:tabs>
          <w:tab w:val="num" w:pos="360"/>
        </w:tabs>
        <w:ind w:start="360" w:hanging="360"/>
      </w:pPr>
    </w:lvl>
  </w:abstractNum>
  <w:abstractNum w:abstractNumId="5">
    <w:lvl w:ilvl="0">
      <w:start w:val="2000"/>
      <w:numFmt w:val="bullet"/>
      <w:lvlText w:val="–"/>
      <w:lvlJc w:val="start"/>
      <w:pPr>
        <w:tabs>
          <w:tab w:val="num" w:pos="1125"/>
        </w:tabs>
        <w:ind w:start="1125" w:hanging="360"/>
      </w:pPr>
      <w:rPr>
        <w:rFonts w:ascii="Liberation Serif" w:hAnsi="Liberation Serif" w:cs="Liberation Serif"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2000"/>
      <w:numFmt w:val="bullet"/>
      <w:lvlText w:val="–"/>
      <w:lvlJc w:val="start"/>
      <w:pPr>
        <w:tabs>
          <w:tab w:val="num" w:pos="1125"/>
        </w:tabs>
        <w:ind w:start="1125" w:hanging="360"/>
      </w:pPr>
      <w:rPr>
        <w:rFonts w:ascii="Liberation Serif" w:hAnsi="Liberation Serif" w:cs="Liberation Serif" w:hint="default"/>
      </w:rPr>
    </w:lvl>
  </w:abstractNum>
  <w:abstractNum w:abstractNumId="9">
    <w:lvl w:ilvl="0">
      <w:start w:val="4"/>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840" w:leader="none"/>
      </w:tabs>
      <w:jc w:val="both"/>
      <w:outlineLvl w:val="0"/>
    </w:pPr>
    <w:rPr>
      <w:sz w:val="24"/>
    </w:rPr>
  </w:style>
  <w:style w:type="character" w:styleId="WW8Num2z0">
    <w:name w:val="WW8Num2z0"/>
    <w:qFormat/>
    <w:rPr>
      <w:rFonts w:ascii="Symbol" w:hAnsi="Symbol" w:cs="Symbol"/>
    </w:rPr>
  </w:style>
  <w:style w:type="character" w:styleId="WW8Num3z0">
    <w:name w:val="WW8Num3z0"/>
    <w:qFormat/>
    <w:rPr/>
  </w:style>
  <w:style w:type="character" w:styleId="WW8Num5z0">
    <w:name w:val="WW8Num5z0"/>
    <w:qFormat/>
    <w:rPr/>
  </w:style>
  <w:style w:type="character" w:styleId="WW8Num6z0">
    <w:name w:val="WW8Num6z0"/>
    <w:qFormat/>
    <w:rPr>
      <w:rFonts w:ascii="Symbol" w:hAnsi="Symbol" w:cs="Symbol"/>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2000-05-09T15:58:00Z</dcterms:created>
  <dc:creator>bherod</dc:creator>
  <dc:description/>
  <dc:language>en-CA</dc:language>
  <cp:lastModifiedBy>bherod</cp:lastModifiedBy>
  <cp:lastPrinted>2000-05-10T14:25:00Z</cp:lastPrinted>
  <dcterms:modified xsi:type="dcterms:W3CDTF">2000-05-16T13:14:00Z</dcterms:modified>
  <cp:revision>12</cp:revision>
  <dc:subject/>
  <dc:title>ENTEX</dc:title>
</cp:coreProperties>
</file>