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2"/>
        </w:rPr>
      </w:pPr>
      <w:r>
        <w:rPr>
          <w:rFonts w:cs="Arial" w:ascii="Arial" w:hAnsi="Arial"/>
          <w:spacing w:val="-3"/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August 30, 2001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Arial" w:ascii="Arial" w:hAnsi="Arial"/>
          <w:spacing w:val="-3"/>
          <w:sz w:val="20"/>
        </w:rPr>
        <w:tab/>
        <w:tab/>
        <w:tab/>
        <w:tab/>
        <w:tab/>
        <w:tab/>
        <w:tab/>
      </w:r>
      <w:r>
        <w:rPr>
          <w:rFonts w:cs="Arial" w:ascii="Arial" w:hAnsi="Arial"/>
          <w:b/>
          <w:bCs/>
          <w:spacing w:val="-3"/>
          <w:sz w:val="20"/>
          <w:u w:val="single"/>
        </w:rPr>
        <w:t>Via Fax Only:  (970) 493-0213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ENSR International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Attn: Mr. Scott J. Patti, Sr. Project Mgr.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1601 Prospect Parkway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Fort Collins, CO  80525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Re:</w:t>
        <w:tab/>
        <w:t>Enron North America (Company)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>Agreement No.: CSA-10-30-98,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>and extended November 7, 2000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>Transwestern Pipeline Company (Affiliate)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 xml:space="preserve">Affiliate Work Offer No.: TW-CSA-01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Dear Mr. Patti: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z w:val="20"/>
        </w:rPr>
        <w:t>Enclosed are two (2) executable originals of Affiliate's Work Offer No. TW-CSA-01, wherein ENSR International will provide services described as: Contractor shall provide provide a report identifying scoping issues, summarizing permitting requirements, siting constraints, and routing issues (including NGO’s, Native American issues, landowner activist groups, ROW, etc).  Report will also include a map review and fatal flaw analysis, pursuant to Contractor’s Proposal entitled “Sun Devil Project” dated August 20, 2001, and as requested by Affiliate’s representative.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Please sign both Affiliate Work Offers and fax back to me (713) 646-6026; returning original signature pages via regular mail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Enron Operations Services Corp.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 xml:space="preserve">Attn: Service Contracts, </w:t>
      </w:r>
      <w:r>
        <w:rPr>
          <w:rFonts w:cs="Arial" w:ascii="Arial" w:hAnsi="Arial"/>
          <w:b/>
          <w:bCs/>
          <w:spacing w:val="-3"/>
          <w:sz w:val="20"/>
          <w:u w:val="single"/>
        </w:rPr>
        <w:t>3AC3247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P. O. Box 1188</w:t>
        <w:tab/>
        <w:tab/>
        <w:tab/>
        <w:tab/>
        <w:t xml:space="preserve">or </w:t>
        <w:tab/>
        <w:t>1400 Smith – 3AC3247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720" w:end="0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Houston, TX 77251</w:t>
        <w:noBreakHyphen/>
        <w:t>1188</w:t>
        <w:tab/>
        <w:tab/>
        <w:tab/>
        <w:t>Houston, TX   77002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After Affiliate's execution I will return an original Work Offer to you for your files.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If you have any questions, please contact me at (713) 345-6489.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Sincerely,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Jane A. Scelzo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Sr. Contract Administrator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>Enclosure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 xml:space="preserve">cc: </w:t>
        <w:tab/>
        <w:t>Eric Gadd, V.P., Asset Development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>Kevin Hyatt, Director</w:t>
      </w:r>
    </w:p>
    <w:p>
      <w:pPr>
        <w:pStyle w:val="Normal"/>
        <w:rPr>
          <w:rFonts w:ascii="Arial" w:hAnsi="Arial" w:cs="Arial"/>
          <w:spacing w:val="-3"/>
          <w:sz w:val="20"/>
        </w:rPr>
      </w:pPr>
      <w:r>
        <w:rPr>
          <w:rFonts w:cs="Arial" w:ascii="Arial" w:hAnsi="Arial"/>
          <w:spacing w:val="-3"/>
          <w:sz w:val="20"/>
        </w:rPr>
        <w:tab/>
        <w:t>John Shafer, V.P., Env. Health &amp; Safety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2001-08-30T11:48:00Z</dcterms:created>
  <dc:creator>jscelzo</dc:creator>
  <dc:description/>
  <dc:language>en-CA</dc:language>
  <cp:lastModifiedBy>jscelzo</cp:lastModifiedBy>
  <cp:lastPrinted>2001-08-30T13:33:00Z</cp:lastPrinted>
  <dcterms:modified xsi:type="dcterms:W3CDTF">2001-08-30T16:04:00Z</dcterms:modified>
  <cp:revision>2</cp:revision>
  <dc:subject/>
  <dc:title>August 30, 2001</dc:title>
</cp:coreProperties>
</file>