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3"/>
        </w:rPr>
      </w:pPr>
      <w:r>
        <w:rPr>
          <w:b/>
          <w:sz w:val="23"/>
          <w:u w:val="single"/>
        </w:rPr>
        <w:t>INDEMNITY AGREEMENT</w:t>
      </w:r>
    </w:p>
    <w:p>
      <w:pPr>
        <w:pStyle w:val="Normal"/>
        <w:jc w:val="center"/>
        <w:rPr>
          <w:sz w:val="23"/>
        </w:rPr>
      </w:pPr>
      <w:r>
        <w:rPr>
          <w:b/>
          <w:sz w:val="23"/>
        </w:rPr>
        <w:t>(Enron Corp. to Indemnified Persons)</w:t>
      </w:r>
    </w:p>
    <w:p>
      <w:pPr>
        <w:pStyle w:val="Normal"/>
        <w:rPr>
          <w:sz w:val="23"/>
        </w:rPr>
      </w:pPr>
      <w:r>
        <w:rPr>
          <w:sz w:val="23"/>
        </w:rPr>
      </w:r>
    </w:p>
    <w:p>
      <w:pPr>
        <w:pStyle w:val="Normal"/>
        <w:rPr>
          <w:sz w:val="23"/>
        </w:rPr>
      </w:pPr>
      <w:r>
        <w:rPr>
          <w:sz w:val="23"/>
        </w:rPr>
      </w:r>
    </w:p>
    <w:p>
      <w:pPr>
        <w:pStyle w:val="Normal"/>
        <w:jc w:val="both"/>
        <w:rPr/>
      </w:pPr>
      <w:r>
        <w:rPr>
          <w:sz w:val="23"/>
        </w:rPr>
        <w:tab/>
        <w:t>This Indemnity Agreement (this "</w:t>
      </w:r>
      <w:r>
        <w:rPr>
          <w:sz w:val="23"/>
          <w:u w:val="single"/>
        </w:rPr>
        <w:t>Agreement</w:t>
      </w:r>
      <w:r>
        <w:rPr>
          <w:sz w:val="23"/>
        </w:rPr>
        <w:t>") is made and entered into as of September 30, 1999, by and among Enron Corp., an Oregon corporation, Meter Acquisition Company LP, LLLP ("</w:t>
      </w:r>
      <w:r>
        <w:rPr>
          <w:sz w:val="23"/>
          <w:u w:val="single"/>
        </w:rPr>
        <w:t>MAC</w:t>
      </w:r>
      <w:r>
        <w:rPr>
          <w:sz w:val="23"/>
        </w:rPr>
        <w:t>"), [Hanover MAC, LLC] as limited partner of MAC ("</w:t>
      </w:r>
      <w:r>
        <w:rPr>
          <w:sz w:val="23"/>
          <w:u w:val="single"/>
        </w:rPr>
        <w:t>Hanover MAC</w:t>
      </w:r>
      <w:r>
        <w:rPr>
          <w:sz w:val="23"/>
        </w:rPr>
        <w:t>"), Boulder Trust, a Delaware business Trust ("</w:t>
      </w:r>
      <w:r>
        <w:rPr>
          <w:sz w:val="23"/>
          <w:u w:val="single"/>
        </w:rPr>
        <w:t>Boulder Trust</w:t>
      </w:r>
      <w:r>
        <w:rPr>
          <w:sz w:val="23"/>
        </w:rPr>
        <w:t>"), [_____________________], not in its individual capacity but solely as Trustee of Boulder Trust (the "</w:t>
      </w:r>
      <w:r>
        <w:rPr>
          <w:sz w:val="23"/>
          <w:u w:val="single"/>
        </w:rPr>
        <w:t>Trustee</w:t>
      </w:r>
      <w:r>
        <w:rPr>
          <w:sz w:val="23"/>
        </w:rPr>
        <w:t>"), the Noteholders (the "</w:t>
      </w:r>
      <w:r>
        <w:rPr>
          <w:sz w:val="23"/>
          <w:u w:val="single"/>
        </w:rPr>
        <w:t>Noteholders</w:t>
      </w:r>
      <w:r>
        <w:rPr>
          <w:sz w:val="23"/>
        </w:rPr>
        <w:t>") and Participants (the "</w:t>
      </w:r>
      <w:r>
        <w:rPr>
          <w:sz w:val="23"/>
          <w:u w:val="single"/>
        </w:rPr>
        <w:t>Participants</w:t>
      </w:r>
      <w:r>
        <w:rPr>
          <w:sz w:val="23"/>
        </w:rPr>
        <w:t>") whose names appear on the signature pages hereof, and Barclays Bank PLC as Agent (the "</w:t>
      </w:r>
      <w:r>
        <w:rPr>
          <w:sz w:val="23"/>
          <w:u w:val="single"/>
        </w:rPr>
        <w:t>Agent</w:t>
      </w:r>
      <w:r>
        <w:rPr>
          <w:sz w:val="23"/>
        </w:rPr>
        <w:t>") for the Noteholders and Participants.</w:t>
      </w:r>
    </w:p>
    <w:p>
      <w:pPr>
        <w:pStyle w:val="Normal"/>
        <w:jc w:val="both"/>
        <w:rPr>
          <w:sz w:val="23"/>
        </w:rPr>
      </w:pPr>
      <w:r>
        <w:rPr>
          <w:sz w:val="23"/>
        </w:rPr>
      </w:r>
    </w:p>
    <w:p>
      <w:pPr>
        <w:pStyle w:val="Normal"/>
        <w:jc w:val="center"/>
        <w:rPr>
          <w:sz w:val="23"/>
        </w:rPr>
      </w:pPr>
      <w:r>
        <w:rPr>
          <w:b/>
          <w:sz w:val="23"/>
        </w:rPr>
        <w:t>PRELIMINARY STATEMENTS</w:t>
      </w:r>
    </w:p>
    <w:p>
      <w:pPr>
        <w:pStyle w:val="Normal"/>
        <w:jc w:val="both"/>
        <w:rPr>
          <w:sz w:val="23"/>
        </w:rPr>
      </w:pPr>
      <w:r>
        <w:rPr>
          <w:sz w:val="23"/>
        </w:rPr>
      </w:r>
    </w:p>
    <w:p>
      <w:pPr>
        <w:pStyle w:val="Normal"/>
        <w:ind w:firstLine="720" w:end="0"/>
        <w:jc w:val="both"/>
        <w:rPr/>
      </w:pPr>
      <w:r>
        <w:rPr>
          <w:sz w:val="23"/>
        </w:rPr>
        <w:t>A.</w:t>
        <w:tab/>
        <w:t>MAC, Hanover Measurement Services Company, L.P. ("</w:t>
      </w:r>
      <w:r>
        <w:rPr>
          <w:sz w:val="23"/>
          <w:u w:val="single"/>
        </w:rPr>
        <w:t>HMS</w:t>
      </w:r>
      <w:r>
        <w:rPr>
          <w:sz w:val="23"/>
        </w:rPr>
        <w:t>"), Houston Pipeline Company ("</w:t>
      </w:r>
      <w:r>
        <w:rPr>
          <w:sz w:val="23"/>
          <w:u w:val="single"/>
        </w:rPr>
        <w:t>HPL</w:t>
      </w:r>
      <w:r>
        <w:rPr>
          <w:sz w:val="23"/>
        </w:rPr>
        <w:t>"), Hanover Measurement, LLC ("</w:t>
      </w:r>
      <w:r>
        <w:rPr>
          <w:sz w:val="23"/>
          <w:u w:val="single"/>
        </w:rPr>
        <w:t>Hanover HMS</w:t>
      </w:r>
      <w:r>
        <w:rPr>
          <w:sz w:val="23"/>
        </w:rPr>
        <w:t>"), Hanover MAC, the Trustee, the Agent, the Noteholders and the Participants have entered into that certain Common Agreement dated as of September 30, 1999, among such parties (the "</w:t>
      </w:r>
      <w:r>
        <w:rPr>
          <w:sz w:val="23"/>
          <w:u w:val="single"/>
        </w:rPr>
        <w:t>Common Agreement</w:t>
      </w:r>
      <w:r>
        <w:rPr>
          <w:sz w:val="23"/>
        </w:rPr>
        <w:t>").</w:t>
      </w:r>
    </w:p>
    <w:p>
      <w:pPr>
        <w:pStyle w:val="Normal"/>
        <w:ind w:firstLine="720" w:end="0"/>
        <w:jc w:val="both"/>
        <w:rPr>
          <w:sz w:val="23"/>
        </w:rPr>
      </w:pPr>
      <w:r>
        <w:rPr>
          <w:sz w:val="23"/>
        </w:rPr>
      </w:r>
    </w:p>
    <w:p>
      <w:pPr>
        <w:pStyle w:val="Normal"/>
        <w:ind w:firstLine="720" w:end="0"/>
        <w:jc w:val="both"/>
        <w:rPr/>
      </w:pPr>
      <w:r>
        <w:rPr>
          <w:sz w:val="23"/>
        </w:rPr>
        <w:t>B.</w:t>
        <w:tab/>
        <w:t xml:space="preserve">The execution and delivery by Enron of this Agreement are conditions precedent to the performance by the Indemnified Persons (defined below) of their respective obligations under the Common Agreement and the other </w:t>
      </w:r>
      <w:r>
        <w:rPr>
          <w:b/>
          <w:sz w:val="23"/>
        </w:rPr>
        <w:t>[Project]</w:t>
      </w:r>
      <w:r>
        <w:rPr>
          <w:sz w:val="23"/>
        </w:rPr>
        <w:t xml:space="preserve"> Documents, and to the issuance by the Trust, and the purchase by the Noteholders and the Participants, respectively, of, the A</w:t>
        <w:noBreakHyphen/>
        <w:t>Notes and the B Participations.</w:t>
      </w:r>
    </w:p>
    <w:p>
      <w:pPr>
        <w:pStyle w:val="Normal"/>
        <w:jc w:val="both"/>
        <w:rPr>
          <w:sz w:val="23"/>
        </w:rPr>
      </w:pPr>
      <w:r>
        <w:rPr>
          <w:sz w:val="23"/>
        </w:rPr>
      </w:r>
    </w:p>
    <w:p>
      <w:pPr>
        <w:pStyle w:val="Normal"/>
        <w:ind w:firstLine="720" w:end="0"/>
        <w:jc w:val="both"/>
        <w:rPr>
          <w:sz w:val="23"/>
        </w:rPr>
      </w:pPr>
      <w:r>
        <w:rPr>
          <w:sz w:val="23"/>
        </w:rPr>
        <w:t>C.</w:t>
        <w:tab/>
        <w:t>The indemnities provided in this Guaranty reasonably may be expected to benefit, directly or indirectly, Enron.  Further, it is in the best interest of Enron to provide the indemnities set forth hereunder, and such indemnities are necessary or convenient to the conduct, promotion, or attainment of the business of Enron.</w:t>
      </w:r>
    </w:p>
    <w:p>
      <w:pPr>
        <w:pStyle w:val="Normal"/>
        <w:jc w:val="both"/>
        <w:rPr>
          <w:sz w:val="23"/>
        </w:rPr>
      </w:pPr>
      <w:r>
        <w:rPr>
          <w:sz w:val="23"/>
        </w:rPr>
      </w:r>
    </w:p>
    <w:p>
      <w:pPr>
        <w:pStyle w:val="Normal"/>
        <w:jc w:val="both"/>
        <w:rPr>
          <w:sz w:val="23"/>
        </w:rPr>
      </w:pPr>
      <w:r>
        <w:rPr>
          <w:sz w:val="23"/>
        </w:rPr>
      </w:r>
    </w:p>
    <w:p>
      <w:pPr>
        <w:pStyle w:val="Normal"/>
        <w:jc w:val="center"/>
        <w:rPr>
          <w:sz w:val="23"/>
        </w:rPr>
      </w:pPr>
      <w:r>
        <w:rPr>
          <w:b/>
          <w:sz w:val="23"/>
          <w:u w:val="single"/>
        </w:rPr>
        <w:t>AGREEMENTS</w:t>
      </w:r>
    </w:p>
    <w:p>
      <w:pPr>
        <w:pStyle w:val="Normal"/>
        <w:jc w:val="both"/>
        <w:rPr>
          <w:sz w:val="23"/>
        </w:rPr>
      </w:pPr>
      <w:r>
        <w:rPr>
          <w:sz w:val="23"/>
        </w:rPr>
      </w:r>
    </w:p>
    <w:p>
      <w:pPr>
        <w:pStyle w:val="Normal"/>
        <w:ind w:firstLine="720" w:end="0"/>
        <w:jc w:val="both"/>
        <w:rPr/>
      </w:pPr>
      <w:r>
        <w:rPr>
          <w:sz w:val="23"/>
        </w:rPr>
        <w:t xml:space="preserve">NOW, THEREFORE, in consideration of the premises (and, with respect to the obligations of Enron set forth herein, in order to induce the Indemnified Persons to enter into the Common Agreement and the other </w:t>
      </w:r>
      <w:r>
        <w:rPr>
          <w:b/>
          <w:sz w:val="23"/>
        </w:rPr>
        <w:t xml:space="preserve">[Project] </w:t>
      </w:r>
      <w:r>
        <w:rPr>
          <w:sz w:val="23"/>
        </w:rPr>
        <w:t>Documents to which they are respectively parties, and to induce the Trust to issue and the Noteholders and the Participants to respectively purchase the A</w:t>
        <w:noBreakHyphen/>
        <w:t>Notes and the B Participations) the parties hereby agree as follows:</w:t>
      </w:r>
    </w:p>
    <w:p>
      <w:pPr>
        <w:pStyle w:val="Normal"/>
        <w:jc w:val="both"/>
        <w:rPr>
          <w:sz w:val="23"/>
        </w:rPr>
      </w:pPr>
      <w:r>
        <w:rPr>
          <w:sz w:val="23"/>
        </w:rPr>
      </w:r>
    </w:p>
    <w:p>
      <w:pPr>
        <w:pStyle w:val="Normal"/>
        <w:ind w:firstLine="720" w:end="0"/>
        <w:jc w:val="both"/>
        <w:rPr/>
      </w:pPr>
      <w:r>
        <w:rPr>
          <w:sz w:val="23"/>
        </w:rPr>
        <w:t>Section 1.</w:t>
        <w:tab/>
      </w:r>
      <w:r>
        <w:rPr>
          <w:sz w:val="23"/>
          <w:u w:val="single"/>
        </w:rPr>
        <w:t>Certain Defined Terms</w:t>
      </w:r>
      <w:r>
        <w:rPr>
          <w:sz w:val="23"/>
        </w:rPr>
        <w:t xml:space="preserve">.  Each capitalized term referenced in this Agreement but not defined herein shall have the meaning ascribed to such term in </w:t>
      </w:r>
      <w:r>
        <w:rPr>
          <w:sz w:val="23"/>
          <w:u w:val="single"/>
        </w:rPr>
        <w:t>Appendix A</w:t>
      </w:r>
      <w:r>
        <w:rPr>
          <w:sz w:val="23"/>
        </w:rPr>
        <w:t xml:space="preserve"> to the Common Agreement.</w:t>
      </w:r>
    </w:p>
    <w:p>
      <w:pPr>
        <w:pStyle w:val="Normal"/>
        <w:jc w:val="both"/>
        <w:rPr>
          <w:sz w:val="23"/>
        </w:rPr>
      </w:pPr>
      <w:r>
        <w:rPr>
          <w:sz w:val="23"/>
        </w:rPr>
      </w:r>
    </w:p>
    <w:p>
      <w:pPr>
        <w:pStyle w:val="Normal"/>
        <w:ind w:firstLine="720" w:end="0"/>
        <w:jc w:val="both"/>
        <w:rPr/>
      </w:pPr>
      <w:r>
        <w:rPr>
          <w:sz w:val="23"/>
        </w:rPr>
        <w:t>Section 2.</w:t>
        <w:tab/>
      </w:r>
      <w:r>
        <w:rPr>
          <w:sz w:val="23"/>
          <w:u w:val="single"/>
        </w:rPr>
        <w:t>Governing Provisions</w:t>
      </w:r>
      <w:r>
        <w:rPr>
          <w:sz w:val="23"/>
        </w:rPr>
        <w:t xml:space="preserve">.  Except as otherwise provided herein, the Governing Provisions set forth in </w:t>
      </w:r>
      <w:r>
        <w:rPr>
          <w:sz w:val="23"/>
          <w:u w:val="single"/>
        </w:rPr>
        <w:t>Appendix B</w:t>
      </w:r>
      <w:r>
        <w:rPr>
          <w:sz w:val="23"/>
        </w:rPr>
        <w:t xml:space="preserve"> to the Common Agreement shall apply to and govern this Agreement.</w:t>
      </w:r>
    </w:p>
    <w:p>
      <w:pPr>
        <w:pStyle w:val="Normal"/>
        <w:jc w:val="both"/>
        <w:rPr>
          <w:sz w:val="23"/>
        </w:rPr>
      </w:pPr>
      <w:r>
        <w:rPr>
          <w:sz w:val="23"/>
        </w:rPr>
      </w:r>
    </w:p>
    <w:p>
      <w:pPr>
        <w:pStyle w:val="Normal"/>
        <w:jc w:val="both"/>
        <w:rPr/>
      </w:pPr>
      <w:r>
        <w:rPr>
          <w:sz w:val="23"/>
        </w:rPr>
        <w:tab/>
        <w:t>Section 3.</w:t>
        <w:tab/>
      </w:r>
      <w:r>
        <w:rPr>
          <w:sz w:val="23"/>
          <w:u w:val="single"/>
        </w:rPr>
        <w:t>Indemnity Regarding Common Agreement</w:t>
      </w:r>
      <w:r>
        <w:rPr>
          <w:sz w:val="23"/>
        </w:rPr>
        <w:t>.  Enron shall protect, indemnity and hold harmless each of MAC, [Hanover MAC], the Trust, the Noteholders, the Participants, the Agent, the Trustee, and their respective permitted successors and assigns pursuant to the [Project] Documents, and their respective directors, officers and affiliates (collectively, the "</w:t>
      </w:r>
      <w:r>
        <w:rPr>
          <w:sz w:val="23"/>
          <w:u w:val="single"/>
        </w:rPr>
        <w:t>Indemnified Parties</w:t>
      </w:r>
      <w:r>
        <w:rPr>
          <w:sz w:val="23"/>
        </w:rPr>
        <w:t>" and each individually an "</w:t>
      </w:r>
      <w:r>
        <w:rPr>
          <w:sz w:val="23"/>
          <w:u w:val="single"/>
        </w:rPr>
        <w:t>Indemnified Party</w:t>
      </w:r>
      <w:r>
        <w:rPr>
          <w:sz w:val="23"/>
        </w:rPr>
        <w:t>"), from and against any and all losses (other than loss of anticipated profits), liabilities, damages and costs (collectively, "</w:t>
      </w:r>
      <w:r>
        <w:rPr>
          <w:sz w:val="23"/>
          <w:u w:val="single"/>
        </w:rPr>
        <w:t>Losses</w:t>
      </w:r>
      <w:r>
        <w:rPr>
          <w:sz w:val="23"/>
        </w:rPr>
        <w:t>"), including any Losses arising in tort, arising from or in connection with (a) any failure of HPL to fulfill any term, covenant or obligation agreed to by HPL in the Common Agreement, or (b) any representation made by HPL in the Common Agreement being incorrect in any material respect when made and such materiality being continuing.</w:t>
      </w:r>
    </w:p>
    <w:p>
      <w:pPr>
        <w:pStyle w:val="Normal"/>
        <w:jc w:val="both"/>
        <w:rPr>
          <w:sz w:val="23"/>
        </w:rPr>
      </w:pPr>
      <w:r>
        <w:rPr>
          <w:sz w:val="23"/>
        </w:rPr>
      </w:r>
    </w:p>
    <w:p>
      <w:pPr>
        <w:pStyle w:val="Normal"/>
        <w:jc w:val="both"/>
        <w:rPr/>
      </w:pPr>
      <w:r>
        <w:rPr>
          <w:sz w:val="23"/>
        </w:rPr>
        <w:tab/>
        <w:t>Section 4.</w:t>
        <w:tab/>
      </w:r>
      <w:r>
        <w:rPr>
          <w:sz w:val="23"/>
          <w:u w:val="single"/>
        </w:rPr>
        <w:t>Additional Indemnities</w:t>
      </w:r>
      <w:r>
        <w:rPr>
          <w:sz w:val="23"/>
        </w:rPr>
        <w:t>.  Enron shall protect, indemnify and hold harmless each of the Indemnified Parties from and against any and all Losses incurred by, or for which such Indemnified Party may become liable, in each case to or in favor of a third party or third parties, arising out of or in connection with a violation by MAC or HPL of, or a failure by MAC or HPL to comply with, environmental laws in connection with the obligations of MAC or HPL under the [Project] Documents.</w:t>
      </w:r>
    </w:p>
    <w:p>
      <w:pPr>
        <w:pStyle w:val="Normal"/>
        <w:jc w:val="both"/>
        <w:rPr>
          <w:sz w:val="23"/>
        </w:rPr>
      </w:pPr>
      <w:r>
        <w:rPr>
          <w:sz w:val="23"/>
        </w:rPr>
      </w:r>
    </w:p>
    <w:p>
      <w:pPr>
        <w:pStyle w:val="Normal"/>
        <w:jc w:val="both"/>
        <w:rPr/>
      </w:pPr>
      <w:r>
        <w:rPr>
          <w:sz w:val="23"/>
        </w:rPr>
        <w:tab/>
        <w:t>Section 5.</w:t>
        <w:tab/>
      </w:r>
      <w:r>
        <w:rPr>
          <w:sz w:val="23"/>
          <w:u w:val="single"/>
        </w:rPr>
        <w:t>Limitations</w:t>
      </w:r>
      <w:r>
        <w:rPr>
          <w:sz w:val="23"/>
        </w:rPr>
        <w:t xml:space="preserve">.  Notwithstanding any provision hereof to the contrary: </w:t>
      </w:r>
    </w:p>
    <w:p>
      <w:pPr>
        <w:pStyle w:val="Normal"/>
        <w:jc w:val="both"/>
        <w:rPr>
          <w:sz w:val="23"/>
        </w:rPr>
      </w:pPr>
      <w:r>
        <w:rPr>
          <w:sz w:val="23"/>
        </w:rPr>
      </w:r>
    </w:p>
    <w:p>
      <w:pPr>
        <w:pStyle w:val="Normal"/>
        <w:jc w:val="both"/>
        <w:rPr>
          <w:sz w:val="23"/>
        </w:rPr>
      </w:pPr>
      <w:r>
        <w:rPr>
          <w:sz w:val="23"/>
        </w:rPr>
        <w:tab/>
        <w:t>(a)</w:t>
        <w:tab/>
        <w:t>Enron shall not be liable for, and shall not be required to indemnify an Indemnified Person for, any Losses arising from</w:t>
      </w:r>
    </w:p>
    <w:p>
      <w:pPr>
        <w:pStyle w:val="Normal"/>
        <w:ind w:hanging="720" w:start="720" w:end="0"/>
        <w:jc w:val="both"/>
        <w:rPr>
          <w:sz w:val="23"/>
        </w:rPr>
      </w:pPr>
      <w:r>
        <w:rPr>
          <w:sz w:val="23"/>
        </w:rPr>
      </w:r>
    </w:p>
    <w:p>
      <w:pPr>
        <w:pStyle w:val="Normal"/>
        <w:ind w:start="1440" w:end="0"/>
        <w:jc w:val="both"/>
        <w:rPr>
          <w:sz w:val="23"/>
        </w:rPr>
      </w:pPr>
      <w:r>
        <w:rPr>
          <w:sz w:val="23"/>
        </w:rPr>
        <w:t>(i)</w:t>
        <w:tab/>
        <w:t>any dispute among the Trustee, the Agent, the Noteholders and the Participants;</w:t>
      </w:r>
    </w:p>
    <w:p>
      <w:pPr>
        <w:pStyle w:val="Normal"/>
        <w:ind w:hanging="2160" w:start="2160" w:end="0"/>
        <w:jc w:val="both"/>
        <w:rPr>
          <w:sz w:val="23"/>
        </w:rPr>
      </w:pPr>
      <w:r>
        <w:rPr>
          <w:sz w:val="23"/>
        </w:rPr>
      </w:r>
    </w:p>
    <w:p>
      <w:pPr>
        <w:pStyle w:val="Normal"/>
        <w:ind w:hanging="720" w:start="2160" w:end="0"/>
        <w:jc w:val="both"/>
        <w:rPr>
          <w:sz w:val="23"/>
        </w:rPr>
      </w:pPr>
      <w:r>
        <w:rPr>
          <w:sz w:val="23"/>
        </w:rPr>
        <w:t>(ii)</w:t>
        <w:tab/>
        <w:t xml:space="preserve">the violation by such Indemnified Person of any Laws (including banking or securities Laws); or </w:t>
      </w:r>
    </w:p>
    <w:p>
      <w:pPr>
        <w:pStyle w:val="Normal"/>
        <w:ind w:hanging="720" w:start="2160" w:end="0"/>
        <w:jc w:val="both"/>
        <w:rPr>
          <w:sz w:val="23"/>
        </w:rPr>
      </w:pPr>
      <w:r>
        <w:rPr>
          <w:sz w:val="23"/>
        </w:rPr>
      </w:r>
    </w:p>
    <w:p>
      <w:pPr>
        <w:pStyle w:val="Normal"/>
        <w:ind w:hanging="720" w:start="2160" w:end="0"/>
        <w:jc w:val="both"/>
        <w:rPr>
          <w:sz w:val="23"/>
        </w:rPr>
      </w:pPr>
      <w:r>
        <w:rPr>
          <w:sz w:val="23"/>
        </w:rPr>
        <w:t>(iii)</w:t>
        <w:tab/>
        <w:t>the gross negligence or willful misconduct of such Indemnified Party.</w:t>
      </w:r>
    </w:p>
    <w:p>
      <w:pPr>
        <w:pStyle w:val="Normal"/>
        <w:ind w:hanging="720" w:start="2160" w:end="0"/>
        <w:jc w:val="both"/>
        <w:rPr>
          <w:sz w:val="23"/>
        </w:rPr>
      </w:pPr>
      <w:r>
        <w:rPr>
          <w:sz w:val="23"/>
        </w:rPr>
      </w:r>
    </w:p>
    <w:p>
      <w:pPr>
        <w:pStyle w:val="Normal"/>
        <w:ind w:firstLine="720" w:end="0"/>
        <w:jc w:val="both"/>
        <w:rPr>
          <w:sz w:val="23"/>
        </w:rPr>
      </w:pPr>
      <w:r>
        <w:rPr>
          <w:sz w:val="23"/>
        </w:rPr>
        <w:t>(b)</w:t>
        <w:tab/>
        <w:t>Enron shall not be liable for, and shall not be obligated to Indemnify any Indemnified Party for, Losses constituting damages that constitute incidental, special, indirect, consequential, treble, exemplary, or punitive damages of any nature whatsoever, including, but not limited to, cost of capital, loss of profits and anticipated revenues, loss of goodwill, or any other damages other than actual damages.</w:t>
      </w:r>
    </w:p>
    <w:p>
      <w:pPr>
        <w:pStyle w:val="Normal"/>
        <w:ind w:firstLine="720" w:end="0"/>
        <w:jc w:val="both"/>
        <w:rPr>
          <w:sz w:val="23"/>
        </w:rPr>
      </w:pPr>
      <w:r>
        <w:rPr>
          <w:sz w:val="23"/>
        </w:rPr>
      </w:r>
    </w:p>
    <w:p>
      <w:pPr>
        <w:pStyle w:val="Normal"/>
        <w:jc w:val="both"/>
        <w:rPr/>
      </w:pPr>
      <w:r>
        <w:rPr>
          <w:sz w:val="23"/>
        </w:rPr>
        <w:tab/>
        <w:t>Section 6.</w:t>
        <w:tab/>
      </w:r>
      <w:r>
        <w:rPr>
          <w:sz w:val="23"/>
          <w:u w:val="single"/>
        </w:rPr>
        <w:t>Indemnity Procedure</w:t>
      </w:r>
      <w:r>
        <w:rPr>
          <w:sz w:val="23"/>
        </w:rPr>
        <w:t>.</w:t>
      </w:r>
    </w:p>
    <w:p>
      <w:pPr>
        <w:pStyle w:val="Normal"/>
        <w:jc w:val="both"/>
        <w:rPr>
          <w:sz w:val="23"/>
        </w:rPr>
      </w:pPr>
      <w:r>
        <w:rPr>
          <w:sz w:val="23"/>
        </w:rPr>
      </w:r>
    </w:p>
    <w:p>
      <w:pPr>
        <w:pStyle w:val="Normal"/>
        <w:ind w:firstLine="720" w:end="0"/>
        <w:jc w:val="both"/>
        <w:rPr/>
      </w:pPr>
      <w:r>
        <w:rPr>
          <w:sz w:val="23"/>
        </w:rPr>
        <w:t>(a)</w:t>
        <w:tab/>
      </w:r>
      <w:r>
        <w:rPr>
          <w:sz w:val="23"/>
          <w:u w:val="single"/>
        </w:rPr>
        <w:t>Defense of Operative Actions</w:t>
      </w:r>
      <w:r>
        <w:rPr>
          <w:sz w:val="23"/>
        </w:rPr>
        <w:t>..  In case any Action shall be brought against any Indemnified Party in respect of which indemnity may be sought against Enron (an "</w:t>
      </w:r>
      <w:r>
        <w:rPr>
          <w:sz w:val="23"/>
          <w:u w:val="single"/>
        </w:rPr>
        <w:t>Operative Action</w:t>
      </w:r>
      <w:r>
        <w:rPr>
          <w:sz w:val="23"/>
        </w:rPr>
        <w:t xml:space="preserve">"), such Indemnified Party shall promptly notify Enron in writing of such Operative Action, but failure to give such prompt notice shall not (subject to the provisions of Section 7 hereof) relieve Enron from any liability hereunder.  Enron,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in any Operative Action and to consult with Enron regarding the defense thereof; </w:t>
      </w:r>
      <w:r>
        <w:rPr>
          <w:sz w:val="23"/>
          <w:u w:val="single"/>
        </w:rPr>
        <w:t>provided</w:t>
      </w:r>
      <w:r>
        <w:rPr>
          <w:sz w:val="23"/>
        </w:rPr>
        <w:t xml:space="preserve"> that, except (x) with respect to Operative Actions or other disputes involving the Securities and Exchange Commission (or matters within the jurisdiction of such Persons) or Federal, state, local, or foreign taxes and (y) as otherwise provided below, Enron shall at all times control such defense of such Operative Action.  If Enron shall have failed to employ counsel reasonably satisfactory to such Indemnified Party or if the Operative Action or dispute involves the Securities and Exchange Commission (or matters within the jurisdiction of such Persons) or Federal, state, local, or foreign taxes, the fees and expenses of counsel to each Indemnified Party shall be paid by Enron.  If (u) Enron shall elect in writing not to assume the defense or shall fail to prosecute diligently such defense thereof, or (v) the Operative Action or dispute involves the Securities and Exchange Commission (or matters within the jurisdiction of such Persons) or Federal, state, local, or foreign taxes, an Indemnified Party may, after written notice to Enron and in the case of clause (u), Enron's failure to remedy promptly the same, assume the defense thereof, including the employment of counsel, in which case Enron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Enron in an Operative Action or if the Operative Action or dispute involves the Securities and Exchange Commission (or matters within the jurisdiction of such Persons) or Federal, state, local, or foreign taxes, or if a conflict in the interests of Enron and such Indemnified Party with regard to such Operative Action exists or may exist, the Indemnified Party may assume the defense of such Operative Action, and Enron shall reimburse such Indemnified Party for the reasonable fees and expenses of any counsel retained by the Indemnified Party promptly following demand.  Enron shall not be liable for any settlement of any Operative Action without its consent (not to be unreasonably withheld) other than Operative Actions involving the Securities and Exchange Commission (or matters within the jurisdiction of such Persons) or Federal, state, local, or foreign taxes.   No settlement of any Operative Action may be made by Enron without the Indemnified Party's consent; </w:t>
      </w:r>
      <w:r>
        <w:rPr>
          <w:sz w:val="23"/>
          <w:u w:val="single"/>
        </w:rPr>
        <w:t>provided</w:t>
      </w:r>
      <w:r>
        <w:rPr>
          <w:sz w:val="23"/>
        </w:rPr>
        <w:t xml:space="preserve"> </w:t>
      </w:r>
      <w:r>
        <w:rPr>
          <w:sz w:val="23"/>
          <w:u w:val="single"/>
        </w:rPr>
        <w:t>that</w:t>
      </w:r>
      <w:r>
        <w:rPr>
          <w:sz w:val="23"/>
        </w:rPr>
        <w:t xml:space="preserve"> such consent shall not be necessary if the settlement results in an unconditional release of the Indemnified Party without the admission by the Indemnified Party of guilt, complicity, or culpability.</w:t>
      </w:r>
    </w:p>
    <w:p>
      <w:pPr>
        <w:pStyle w:val="Normal"/>
        <w:rPr>
          <w:sz w:val="23"/>
        </w:rPr>
      </w:pPr>
      <w:r>
        <w:rPr>
          <w:sz w:val="23"/>
        </w:rPr>
      </w:r>
    </w:p>
    <w:p>
      <w:pPr>
        <w:pStyle w:val="Normal"/>
        <w:jc w:val="both"/>
        <w:rPr/>
      </w:pPr>
      <w:r>
        <w:rPr>
          <w:sz w:val="23"/>
        </w:rPr>
        <w:tab/>
        <w:t>(b)</w:t>
        <w:tab/>
      </w:r>
      <w:r>
        <w:rPr>
          <w:sz w:val="23"/>
          <w:u w:val="single"/>
        </w:rPr>
        <w:t>Reimbursement</w:t>
      </w:r>
      <w:r>
        <w:rPr>
          <w:sz w:val="23"/>
        </w:rPr>
        <w:t xml:space="preserve">.  Upon written demand for payment by any Indemnified Party of any Losses incurred by it for which indemnification is sought, along with a brief description of the nature and extent of the Losses as well as the circumstances under which indemnification is sought, Enron shall within four (4) Business Days of Enron's receipt of such demand pay the full amount of such Losses to the appropriate Indemnified Party; </w:t>
      </w:r>
      <w:r>
        <w:rPr>
          <w:sz w:val="23"/>
          <w:u w:val="single"/>
        </w:rPr>
        <w:t>provided</w:t>
      </w:r>
      <w:r>
        <w:rPr>
          <w:sz w:val="23"/>
        </w:rPr>
        <w:t xml:space="preserve"> that such payment shall not be required during the period Enron has assumed the defense of the Operative Actions giving rise to such Losses and is diligently prosecuting the same and Enron has taken all action as may be reasonably necessary or advisable to prevent (i) the collection of such Losses from the Indemnified Party; (ii) the sale, forfeiture, or loss of the [Trust Estate] or any part thereof during such defense of such Operative Action; and (iii) the imposition of any civil or criminal liability for failure to pay such Losses when due and payable.</w:t>
      </w:r>
    </w:p>
    <w:p>
      <w:pPr>
        <w:pStyle w:val="Normal"/>
        <w:rPr>
          <w:sz w:val="23"/>
        </w:rPr>
      </w:pPr>
      <w:r>
        <w:rPr>
          <w:sz w:val="23"/>
        </w:rPr>
      </w:r>
    </w:p>
    <w:p>
      <w:pPr>
        <w:pStyle w:val="Normal"/>
        <w:jc w:val="both"/>
        <w:rPr/>
      </w:pPr>
      <w:r>
        <w:rPr>
          <w:sz w:val="23"/>
        </w:rPr>
        <w:tab/>
        <w:t>Section 7.</w:t>
        <w:tab/>
      </w:r>
      <w:r>
        <w:rPr>
          <w:sz w:val="23"/>
          <w:u w:val="single"/>
        </w:rPr>
        <w:t>Survival</w:t>
      </w:r>
      <w:r>
        <w:rPr>
          <w:sz w:val="23"/>
        </w:rPr>
        <w:t xml:space="preserve">.  The obligations of Enron shall terminate on the Final Retirement Date (except for Losses with respect to which an Indemnified Party has given notice pursuant to Section 6(a) or made demand pursuant to Section 6(b)) on or before the Final Retirement Date; provided, however, the obligations of Enron under Section 4 hereof shall survive the Final Retirement Date as to Enron's obligations to the Trust, the Noteholders, the Participants, the Agent and the Trustee (and their respective permitted successors and assigns and their respective directors, officers and affiliates), with respect to all matters described in Section 4 that occur or arise prior to the Final Retirement Date or arise out of or result from facts, events, claims, liabilities, or conditions occurring, arising, or existing on or before the Final Retirement Date.  </w:t>
      </w:r>
    </w:p>
    <w:p>
      <w:pPr>
        <w:pStyle w:val="Normal"/>
        <w:jc w:val="both"/>
        <w:rPr>
          <w:sz w:val="23"/>
        </w:rPr>
      </w:pPr>
      <w:r>
        <w:rPr>
          <w:sz w:val="23"/>
        </w:rPr>
      </w:r>
    </w:p>
    <w:p>
      <w:pPr>
        <w:pStyle w:val="Normal"/>
        <w:ind w:firstLine="720" w:end="0"/>
        <w:jc w:val="both"/>
        <w:rPr>
          <w:sz w:val="23"/>
        </w:rPr>
      </w:pPr>
      <w:r>
        <w:rPr>
          <w:sz w:val="23"/>
        </w:rPr>
        <w:t>Section 8.</w:t>
        <w:tab/>
      </w:r>
      <w:r>
        <w:rPr>
          <w:sz w:val="23"/>
          <w:u w:val="single"/>
        </w:rPr>
        <w:t>Miscellaneous</w:t>
      </w:r>
    </w:p>
    <w:p>
      <w:pPr>
        <w:pStyle w:val="Normal"/>
        <w:ind w:firstLine="720" w:end="0"/>
        <w:jc w:val="both"/>
        <w:rPr>
          <w:sz w:val="23"/>
        </w:rPr>
      </w:pPr>
      <w:r>
        <w:rPr>
          <w:sz w:val="23"/>
        </w:rPr>
      </w:r>
    </w:p>
    <w:p>
      <w:pPr>
        <w:pStyle w:val="Normal"/>
        <w:ind w:firstLine="720" w:end="0"/>
        <w:jc w:val="both"/>
        <w:rPr/>
      </w:pPr>
      <w:r>
        <w:rPr>
          <w:sz w:val="23"/>
        </w:rPr>
        <w:t>(a)</w:t>
        <w:tab/>
      </w:r>
      <w:r>
        <w:rPr>
          <w:sz w:val="23"/>
          <w:u w:val="single"/>
        </w:rPr>
        <w:t>Notices</w:t>
      </w:r>
      <w:r>
        <w:rPr>
          <w:sz w:val="23"/>
        </w:rPr>
        <w:t>.  Any demand, notice, request, instruction, or other communication to be given hereunder by any party to Enron shall be in writing and delivered in accordance with Section 4 of the Governing Provisions.</w:t>
        <w:tab/>
      </w:r>
    </w:p>
    <w:p>
      <w:pPr>
        <w:pStyle w:val="Normal"/>
        <w:jc w:val="both"/>
        <w:rPr>
          <w:sz w:val="23"/>
        </w:rPr>
      </w:pPr>
      <w:r>
        <w:rPr>
          <w:sz w:val="23"/>
        </w:rPr>
      </w:r>
    </w:p>
    <w:p>
      <w:pPr>
        <w:pStyle w:val="Normal"/>
        <w:ind w:firstLine="720" w:end="0"/>
        <w:jc w:val="both"/>
        <w:rPr/>
      </w:pPr>
      <w:r>
        <w:rPr>
          <w:sz w:val="23"/>
        </w:rPr>
        <w:t>(b)</w:t>
        <w:tab/>
      </w:r>
      <w:r>
        <w:rPr>
          <w:sz w:val="23"/>
          <w:u w:val="single"/>
        </w:rPr>
        <w:t>Subrogation</w:t>
      </w:r>
      <w:r>
        <w:rPr>
          <w:sz w:val="23"/>
        </w:rPr>
        <w:t xml:space="preserve">.  Notwithstanding any payment or payments made by Enron hereunder, Enron hereby waives and </w:t>
      </w:r>
      <w:bookmarkStart w:id="0" w:name="QuickMark"/>
      <w:bookmarkEnd w:id="0"/>
      <w:r>
        <w:rPr>
          <w:sz w:val="23"/>
        </w:rPr>
        <w:t>shall not be entitled to exercise or enforce against HPL any rights of subrogation or any rights of reimbursement which it might acquire (but for the provisions of this Section 8(b)) as a result of making such payment or payments hereunder.</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sectPr>
          <w:footerReference w:type="default" r:id="rId2"/>
          <w:footerReference w:type="first" r:id="rId3"/>
          <w:type w:val="nextPage"/>
          <w:pgSz w:w="12240" w:h="15840"/>
          <w:pgMar w:left="1440" w:right="1440" w:gutter="0" w:header="0" w:top="1440" w:footer="720" w:bottom="776"/>
          <w:pgNumType w:fmt="decimal"/>
          <w:formProt w:val="false"/>
          <w:titlePg/>
          <w:textDirection w:val="lrTb"/>
          <w:docGrid w:type="default" w:linePitch="360" w:charSpace="0"/>
        </w:sectPr>
        <w:pStyle w:val="Normal"/>
        <w:jc w:val="center"/>
        <w:rPr>
          <w:sz w:val="23"/>
        </w:rPr>
      </w:pPr>
      <w:r>
        <w:rPr>
          <w:sz w:val="23"/>
        </w:rPr>
        <w:t>[Remainder of Page is Intentionally Blank.]</w:t>
      </w:r>
    </w:p>
    <w:p>
      <w:pPr>
        <w:pStyle w:val="Normal"/>
        <w:ind w:firstLine="720" w:end="0"/>
        <w:jc w:val="both"/>
        <w:rPr>
          <w:sz w:val="23"/>
        </w:rPr>
      </w:pPr>
      <w:r>
        <w:rPr>
          <w:sz w:val="23"/>
        </w:rPr>
        <w:t>IN WITNESS WHEREOF, the parties have caused this Agreement to be duly executed and delivered by its officer thereunto duly authorized as of the date first above written.</w:t>
      </w:r>
    </w:p>
    <w:p>
      <w:pPr>
        <w:pStyle w:val="Normal"/>
        <w:jc w:val="both"/>
        <w:rPr>
          <w:sz w:val="23"/>
        </w:rPr>
      </w:pPr>
      <w:r>
        <w:rPr>
          <w:sz w:val="23"/>
        </w:rPr>
      </w:r>
    </w:p>
    <w:p>
      <w:pPr>
        <w:pStyle w:val="Normal"/>
        <w:ind w:firstLine="4320" w:end="0"/>
        <w:jc w:val="both"/>
        <w:rPr>
          <w:sz w:val="23"/>
        </w:rPr>
      </w:pPr>
      <w:r>
        <w:rPr>
          <w:b/>
          <w:sz w:val="23"/>
        </w:rPr>
        <w:t>ENRON</w:t>
      </w:r>
      <w:r>
        <w:rPr>
          <w:sz w:val="23"/>
        </w:rPr>
        <w:t xml:space="preserve"> </w:t>
      </w:r>
      <w:r>
        <w:rPr>
          <w:b/>
          <w:sz w:val="23"/>
        </w:rPr>
        <w:t>CORP.</w:t>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ind w:start="4320" w:end="0"/>
        <w:jc w:val="both"/>
        <w:rPr>
          <w:sz w:val="23"/>
        </w:rPr>
      </w:pPr>
      <w:r>
        <w:rPr>
          <w:sz w:val="23"/>
        </w:rPr>
        <w:t>By:</w:t>
      </w:r>
      <w:r>
        <w:rPr>
          <w:sz w:val="23"/>
          <w:u w:val="single"/>
        </w:rPr>
        <w:tab/>
        <w:tab/>
        <w:tab/>
        <w:tab/>
        <w:tab/>
        <w:tab/>
        <w:tab/>
      </w:r>
    </w:p>
    <w:p>
      <w:pPr>
        <w:pStyle w:val="Normal"/>
        <w:ind w:start="4320" w:end="0"/>
        <w:jc w:val="both"/>
        <w:rPr>
          <w:sz w:val="23"/>
        </w:rPr>
      </w:pPr>
      <w:r>
        <w:rPr>
          <w:sz w:val="23"/>
        </w:rPr>
        <w:t>Name:</w:t>
      </w:r>
      <w:r>
        <w:rPr>
          <w:sz w:val="23"/>
          <w:u w:val="single"/>
        </w:rPr>
        <w:tab/>
        <w:tab/>
        <w:tab/>
        <w:tab/>
        <w:tab/>
        <w:tab/>
        <w:tab/>
      </w:r>
    </w:p>
    <w:p>
      <w:pPr>
        <w:pStyle w:val="Normal"/>
        <w:ind w:start="4320" w:end="0"/>
        <w:jc w:val="both"/>
        <w:rPr>
          <w:sz w:val="23"/>
        </w:rPr>
      </w:pPr>
      <w:r>
        <w:rPr>
          <w:sz w:val="23"/>
        </w:rPr>
        <w:t>Title:</w:t>
      </w:r>
      <w:r>
        <w:rPr>
          <w:sz w:val="23"/>
          <w:u w:val="single"/>
        </w:rPr>
        <w:tab/>
        <w:tab/>
        <w:tab/>
        <w:tab/>
        <w:tab/>
        <w:tab/>
        <w:tab/>
      </w:r>
    </w:p>
    <w:p>
      <w:pPr>
        <w:pStyle w:val="Normal"/>
        <w:rPr>
          <w:sz w:val="23"/>
        </w:rPr>
      </w:pPr>
      <w:r>
        <w:rPr>
          <w:sz w:val="23"/>
        </w:rPr>
      </w:r>
    </w:p>
    <w:p>
      <w:pPr>
        <w:pStyle w:val="Normal"/>
        <w:rPr/>
      </w:pPr>
      <w:r>
        <w:rPr/>
      </w:r>
    </w:p>
    <w:p>
      <w:pPr>
        <w:pStyle w:val="Normal"/>
        <w:ind w:start="4320" w:end="0"/>
        <w:rPr/>
      </w:pPr>
      <w:r>
        <w:rPr/>
        <w:t>[SIGNATURE PROVISIONS FOR OTHER PARTIES]</w:t>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Footer"/>
      <w:rPr>
        <w:sz w:val="14"/>
      </w:rPr>
    </w:pPr>
    <w:r>
      <w:rPr>
        <w:sz w:val="14"/>
      </w:rPr>
      <w:t>F:\TY0419\ENR100\58045\ENG-INDP.DOC</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68275"/>
              <wp:effectExtent l="0" t="0" r="0" b="0"/>
              <wp:wrapTopAndBottom/>
              <wp:docPr id="1" name="Frame1"/>
              <a:graphic xmlns:a="http://schemas.openxmlformats.org/drawingml/2006/main">
                <a:graphicData uri="http://schemas.microsoft.com/office/word/2010/wordprocessingShape">
                  <wps:wsp>
                    <wps:cNvSpPr txBox="1"/>
                    <wps:spPr>
                      <a:xfrm>
                        <a:off x="0" y="0"/>
                        <a:ext cx="5943600" cy="16827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23"/>
                            </w:rPr>
                          </w:pPr>
                          <w:r>
                            <w:rPr>
                              <w:sz w:val="23"/>
                            </w:rPr>
                          </w:r>
                        </w:p>
                      </w:txbxContent>
                    </wps:txbx>
                    <wps:bodyPr anchor="t" lIns="0" tIns="0" rIns="0" bIns="0">
                      <a:noAutofit/>
                    </wps:bodyPr>
                  </wps:wsp>
                </a:graphicData>
              </a:graphic>
            </wp:anchor>
          </w:drawing>
        </mc:Choice>
        <mc:Fallback>
          <w:pict>
            <v:rect fillcolor="#FFFFFF" style="position:absolute;rotation:-0;width:468pt;height:13.2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23"/>
                      </w:rPr>
                    </w:pPr>
                    <w:r>
                      <w:rPr>
                        <w:sz w:val="23"/>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sz w:val="23"/>
      </w:rPr>
      <w:t>-</w:t>
    </w:r>
    <w:r>
      <w:rPr>
        <w:sz w:val="23"/>
      </w:rPr>
      <w:fldChar w:fldCharType="begin"/>
    </w:r>
    <w:r>
      <w:rPr>
        <w:sz w:val="23"/>
      </w:rPr>
      <w:instrText xml:space="preserve"> PAGE </w:instrText>
    </w:r>
    <w:r>
      <w:rPr>
        <w:sz w:val="23"/>
      </w:rPr>
      <w:fldChar w:fldCharType="separate"/>
    </w:r>
    <w:r>
      <w:rPr>
        <w:sz w:val="23"/>
      </w:rPr>
      <w:t>4</w:t>
    </w:r>
    <w:r>
      <w:rPr>
        <w:sz w:val="23"/>
      </w:rPr>
      <w:fldChar w:fldCharType="end"/>
    </w:r>
    <w:r>
      <w:rPr>
        <w:sz w:val="23"/>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p>
    <w:pPr>
      <w:pStyle w:val="Footer"/>
      <w:rPr>
        <w:sz w:val="14"/>
      </w:rPr>
    </w:pPr>
    <w:r>
      <w:rPr>
        <w:sz w:val="14"/>
      </w:rPr>
      <w:t>F:\TY0419\ENR100\58045\ENR-IND.DOC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[Guaranty -- Signature Page 1]</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372745"/>
              <wp:effectExtent l="0" t="0" r="0" b="0"/>
              <wp:wrapTopAndBottom/>
              <wp:docPr id="2" name="Frame2"/>
              <a:graphic xmlns:a="http://schemas.openxmlformats.org/drawingml/2006/main">
                <a:graphicData uri="http://schemas.microsoft.com/office/word/2010/wordprocessingShape">
                  <wps:wsp>
                    <wps:cNvSpPr txBox="1"/>
                    <wps:spPr>
                      <a:xfrm>
                        <a:off x="0" y="0"/>
                        <a:ext cx="5943600" cy="37274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F:\TY0419\ENR100\58045\ENG-INDP.DOC</w:t>
                          </w:r>
                        </w:p>
                      </w:txbxContent>
                    </wps:txbx>
                    <wps:bodyPr anchor="t" lIns="0" tIns="0" rIns="0" bIns="0">
                      <a:noAutofit/>
                    </wps:bodyPr>
                  </wps:wsp>
                </a:graphicData>
              </a:graphic>
            </wp:anchor>
          </w:drawing>
        </mc:Choice>
        <mc:Fallback>
          <w:pict>
            <v:rect fillcolor="#FFFFFF" style="position:absolute;rotation:-0;width:468pt;height:29.3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F:\TY0419\ENR100\58045\ENG-INDP.DOC</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1999-09-16T10:18:00Z</dcterms:created>
  <dc:creator>Vinson &amp; Elkins L.L.P.</dc:creator>
  <dc:description/>
  <dc:language>en-CA</dc:language>
  <cp:lastModifiedBy>Vinson &amp; Elkins L.L.P.</cp:lastModifiedBy>
  <cp:lastPrinted>1999-09-16T09:27:00Z</cp:lastPrinted>
  <dcterms:modified xsi:type="dcterms:W3CDTF">1999-09-16T12:00:00Z</dcterms:modified>
  <cp:revision>18</cp:revision>
  <dc:subject/>
  <dc:title>INDEMNITY AGREEMENT</dc:title>
</cp:coreProperties>
</file>