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both"/>
        <w:rPr/>
      </w:pPr>
      <w:r>
        <w:rPr>
          <w:color w:val="FF0000"/>
          <w:sz w:val="23"/>
          <w:u w:val="none"/>
        </w:rPr>
        <w:t>THIS DOCUMENT CANNOT BE USED FOR THE SUPPLY OF NATURAL GAS USED OR ORDINARILY USED PRIMARILY FOR PERSONAL, FAMILY OR HOUSEHOLD PURPOSES OR FOR THE SUPPLY OF NATURAL GAS TO ANY LOCATION WITHIN A RURAL GAS UTILITY FRANCHISE AREA.</w:t>
      </w:r>
      <w:r>
        <w:rPr>
          <w:sz w:val="23"/>
          <w:u w:val="none"/>
        </w:rPr>
        <w:t xml:space="preserve">  </w:t>
      </w:r>
      <w:r>
        <mc:AlternateContent>
          <mc:Choice Requires="wps">
            <w:drawing>
              <wp:anchor behindDoc="0" distT="0" distB="0" distL="114935" distR="114935" simplePos="0" locked="0" layoutInCell="1" allowOverlap="1" relativeHeight="2">
                <wp:simplePos x="0" y="0"/>
                <wp:positionH relativeFrom="column">
                  <wp:posOffset>4499610</wp:posOffset>
                </wp:positionH>
                <wp:positionV relativeFrom="paragraph">
                  <wp:posOffset>633095</wp:posOffset>
                </wp:positionV>
                <wp:extent cx="1847850" cy="750570"/>
                <wp:effectExtent l="0" t="0" r="0" b="0"/>
                <wp:wrapNone/>
                <wp:docPr id="1" name="Frame1"/>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rPr/>
                            </w:pPr>
                            <w:r>
                              <w:rPr/>
                              <w:t>Version:______     Page 1 of 8</w:t>
                            </w:r>
                          </w:p>
                          <w:p>
                            <w:pPr>
                              <w:pStyle w:val="Footer"/>
                              <w:tabs>
                                <w:tab w:val="clear" w:pos="4320"/>
                                <w:tab w:val="clear" w:pos="8640"/>
                              </w:tabs>
                              <w:spacing w:before="0" w:after="0"/>
                              <w:rPr/>
                            </w:pPr>
                            <w:r>
                              <w:rPr/>
                              <w:t>________________________</w:t>
                            </w:r>
                          </w:p>
                          <w:p>
                            <w:pPr>
                              <w:pStyle w:val="Normal"/>
                              <w:widowControl/>
                              <w:bidi w:val="0"/>
                              <w:spacing w:before="0" w:after="240"/>
                              <w:jc w:val="both"/>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49.85pt;mso-position-vertical-relative:text;margin-left:354.3pt;mso-position-horizontal-relative:text">
                <v:textbox>
                  <w:txbxContent>
                    <w:p>
                      <w:pPr>
                        <w:pStyle w:val="Footer"/>
                        <w:tabs>
                          <w:tab w:val="clear" w:pos="4320"/>
                          <w:tab w:val="clear" w:pos="8640"/>
                        </w:tabs>
                        <w:rPr/>
                      </w:pPr>
                      <w:r>
                        <w:rPr/>
                        <w:t>Version:______     Page 1 of 8</w:t>
                      </w:r>
                    </w:p>
                    <w:p>
                      <w:pPr>
                        <w:pStyle w:val="Footer"/>
                        <w:tabs>
                          <w:tab w:val="clear" w:pos="4320"/>
                          <w:tab w:val="clear" w:pos="8640"/>
                        </w:tabs>
                        <w:spacing w:before="0" w:after="0"/>
                        <w:rPr/>
                      </w:pPr>
                      <w:r>
                        <w:rPr/>
                        <w:t>________________________</w:t>
                      </w:r>
                    </w:p>
                    <w:p>
                      <w:pPr>
                        <w:pStyle w:val="Normal"/>
                        <w:widowControl/>
                        <w:bidi w:val="0"/>
                        <w:spacing w:before="0" w:after="240"/>
                        <w:jc w:val="both"/>
                        <w:rPr/>
                      </w:pPr>
                      <w:r>
                        <w:rPr/>
                        <w:t>Customer Signature</w:t>
                      </w:r>
                    </w:p>
                  </w:txbxContent>
                </v:textbox>
                <w10:wrap type="none"/>
              </v:rect>
            </w:pict>
          </mc:Fallback>
        </mc:AlternateContent>
      </w:r>
    </w:p>
    <w:p>
      <w:pPr>
        <w:pStyle w:val="BodyText2"/>
        <w:jc w:val="both"/>
        <w:rPr>
          <w:sz w:val="23"/>
          <w:u w:val="none"/>
        </w:rPr>
      </w:pPr>
      <w:r>
        <w:rPr>
          <w:sz w:val="23"/>
          <w:u w:val="none"/>
        </w:rPr>
      </w:r>
    </w:p>
    <w:p>
      <w:pPr>
        <w:pStyle w:val="BodyText2"/>
        <w:tabs>
          <w:tab w:val="clear" w:pos="720"/>
          <w:tab w:val="left" w:pos="5620" w:leader="none"/>
        </w:tabs>
        <w:jc w:val="end"/>
        <w:rPr>
          <w:sz w:val="23"/>
          <w:u w:val="none"/>
        </w:rPr>
      </w:pPr>
      <w:r>
        <w:rPr>
          <w:sz w:val="23"/>
          <w:u w:val="none"/>
        </w:rPr>
      </w:r>
    </w:p>
    <w:p>
      <w:pPr>
        <w:pStyle w:val="BodyText2"/>
        <w:tabs>
          <w:tab w:val="clear" w:pos="720"/>
          <w:tab w:val="left" w:pos="5620" w:leader="none"/>
        </w:tabs>
        <w:jc w:val="start"/>
        <w:rPr/>
      </w:pPr>
      <w:r>
        <w:rPr/>
      </w:r>
    </w:p>
    <w:p>
      <w:pPr>
        <w:pStyle w:val="BodyText2"/>
        <w:tabs>
          <w:tab w:val="clear" w:pos="720"/>
          <w:tab w:val="left" w:pos="5620" w:leader="none"/>
        </w:tabs>
        <w:jc w:val="start"/>
        <w:rPr/>
      </w:pPr>
      <w:r>
        <w:rPr/>
      </w:r>
    </w:p>
    <w:p>
      <w:pPr>
        <w:pStyle w:val="BodyText2"/>
        <w:rPr/>
      </w:pPr>
      <w:r>
        <w:rPr/>
        <w:br/>
        <w:t>APPLICATION FOR NATURAL GAS SUPPLY</w:t>
      </w:r>
    </w:p>
    <w:p>
      <w:pPr>
        <w:pStyle w:val="Normal"/>
        <w:spacing w:before="0" w:after="0"/>
        <w:jc w:val="center"/>
        <w:rPr>
          <w:b/>
          <w:u w:val="single"/>
        </w:rPr>
      </w:pPr>
      <w:r>
        <w:rPr>
          <w:b/>
          <w:u w:val="single"/>
        </w:rPr>
        <w:t>(the "Application")</w:t>
      </w:r>
    </w:p>
    <w:p>
      <w:pPr>
        <w:pStyle w:val="Normal"/>
        <w:spacing w:before="0" w:after="0"/>
        <w:jc w:val="center"/>
        <w:rPr>
          <w:b/>
        </w:rPr>
      </w:pPr>
      <w:r>
        <w:rPr>
          <w:b/>
        </w:rPr>
        <w:br/>
        <w:t>ENRON DIRECT LIMITED PARTNERSHIP</w:t>
      </w:r>
    </w:p>
    <w:p>
      <w:pPr>
        <w:pStyle w:val="Normal"/>
        <w:spacing w:before="0" w:after="0"/>
        <w:jc w:val="center"/>
        <w:rPr>
          <w:sz w:val="18"/>
        </w:rPr>
      </w:pPr>
      <w:r>
        <w:rPr>
          <w:sz w:val="18"/>
        </w:rPr>
        <w:t>Suite 950, Encor Place</w:t>
      </w:r>
    </w:p>
    <w:p>
      <w:pPr>
        <w:pStyle w:val="Normal"/>
        <w:spacing w:before="0" w:after="0"/>
        <w:jc w:val="center"/>
        <w:rPr/>
      </w:pPr>
      <w:r>
        <w:rPr>
          <w:sz w:val="18"/>
        </w:rPr>
        <w:t>645 – 7</w:t>
      </w:r>
      <w:r>
        <w:rPr>
          <w:sz w:val="18"/>
          <w:vertAlign w:val="superscript"/>
        </w:rPr>
        <w:t>th</w:t>
      </w:r>
      <w:r>
        <w:rPr>
          <w:sz w:val="18"/>
        </w:rPr>
        <w:t xml:space="preserve"> Avenue S.W.</w:t>
      </w:r>
    </w:p>
    <w:p>
      <w:pPr>
        <w:pStyle w:val="Normal"/>
        <w:spacing w:before="0" w:after="0"/>
        <w:jc w:val="center"/>
        <w:rPr>
          <w:sz w:val="18"/>
        </w:rPr>
      </w:pPr>
      <w:r>
        <w:rPr>
          <w:sz w:val="18"/>
        </w:rPr>
        <w:t>Calgary, Alberta  T2P 4G8</w:t>
      </w:r>
    </w:p>
    <w:p>
      <w:pPr>
        <w:pStyle w:val="Normal"/>
        <w:spacing w:before="0" w:after="0"/>
        <w:jc w:val="center"/>
        <w:rPr>
          <w:sz w:val="18"/>
        </w:rPr>
      </w:pPr>
      <w:r>
        <w:rPr>
          <w:sz w:val="18"/>
        </w:rPr>
        <w:t>Telephone: (403) 663-2800  Facsimile: (403) 663-2899</w:t>
        <w:br/>
      </w:r>
    </w:p>
    <w:p>
      <w:pPr>
        <w:pStyle w:val="Normal"/>
        <w:spacing w:before="240" w:after="240"/>
        <w:rPr/>
      </w:pPr>
      <w:r>
        <w:rPr/>
        <w:t>_________________________________________________________________, (the "</w:t>
      </w:r>
      <w:r>
        <w:rPr>
          <w:b/>
        </w:rPr>
        <w:t>Customer</w:t>
      </w:r>
      <w:r>
        <w:rPr/>
        <w:t xml:space="preserve">") HEREBY APPLIES TO </w:t>
      </w:r>
      <w:r>
        <w:rPr>
          <w:caps/>
        </w:rPr>
        <w:t>Enron Direct Limited Partnership</w:t>
      </w:r>
      <w:r>
        <w:rPr/>
        <w:t xml:space="preserve"> ("</w:t>
      </w:r>
      <w:r>
        <w:rPr>
          <w:b/>
        </w:rPr>
        <w:t>Enron Direct</w:t>
      </w:r>
      <w:r>
        <w:rPr/>
        <w:t xml:space="preserve">"), acting through its general partner Enron Direct Canada Corp., in order to facilitate the supply of all natural gas for each of the locations described as a </w:t>
      </w:r>
      <w:r>
        <w:rPr>
          <w:b/>
        </w:rPr>
        <w:t xml:space="preserve">Service Address </w:t>
      </w:r>
      <w:r>
        <w:rPr/>
        <w:t>in Schedule "A" hereto (each a "</w:t>
      </w:r>
      <w:r>
        <w:rPr>
          <w:b/>
        </w:rPr>
        <w:t>Service Address</w:t>
      </w:r>
      <w:r>
        <w:rPr/>
        <w:t>") on the terms and conditions set out in this Application and the terms and conditions attached to this Application (the "</w:t>
      </w:r>
      <w:r>
        <w:rPr>
          <w:b/>
        </w:rPr>
        <w:t>Terms and Conditions</w:t>
      </w:r>
      <w:r>
        <w:rPr/>
        <w:t xml:space="preserve">") for the </w:t>
      </w:r>
      <w:r>
        <w:rPr>
          <w:b/>
          <w:bCs/>
        </w:rPr>
        <w:t xml:space="preserve">Term </w:t>
      </w:r>
      <w:r>
        <w:rPr/>
        <w:t>(as defined in the Terms and Conditions) at the price indicated below.</w:t>
      </w:r>
    </w:p>
    <w:p>
      <w:pPr>
        <w:pStyle w:val="Normal"/>
        <w:spacing w:before="0" w:after="0"/>
        <w:rPr/>
      </w:pPr>
      <w:r>
        <w:rPr/>
        <w:t xml:space="preserve">The total price of the natural gas and services delivered to the Service Addresses by Enron Direct pursuant to the </w:t>
      </w:r>
      <w:r>
        <w:rPr>
          <w:b/>
        </w:rPr>
        <w:t>Contract</w:t>
      </w:r>
      <w:r>
        <w:rPr/>
        <w:t xml:space="preserve"> (as defined below) shall be:</w:t>
      </w:r>
    </w:p>
    <w:p>
      <w:pPr>
        <w:pStyle w:val="Normal"/>
        <w:spacing w:before="0" w:after="0"/>
        <w:rPr/>
      </w:pPr>
      <w:r>
        <w:rPr/>
      </w:r>
    </w:p>
    <w:p>
      <w:pPr>
        <w:pStyle w:val="Heading2"/>
        <w:ind w:hanging="0" w:start="0"/>
        <w:rPr/>
      </w:pPr>
      <w:r>
        <w:rPr/>
        <w:t xml:space="preserve">a commodity price per gigaJoule ("GJ") for the </w:t>
      </w:r>
      <w:r>
        <w:rPr>
          <w:b/>
        </w:rPr>
        <w:t>Daily Normalized Volume</w:t>
      </w:r>
      <w:r>
        <w:rPr/>
        <w:t xml:space="preserve"> (as defined in Schedule "A" attached hereto) of natural gas for each </w:t>
      </w:r>
      <w:r>
        <w:rPr>
          <w:b/>
        </w:rPr>
        <w:t xml:space="preserve">Day </w:t>
      </w:r>
      <w:r>
        <w:rPr/>
        <w:t>(as defined in Schedule “A” attached hereto) corresponding to such Service Address of $</w:t>
      </w:r>
      <w:r>
        <w:rPr>
          <w:rFonts w:eastAsia="Symbol" w:cs="Symbol" w:ascii="Symbol" w:hAnsi="Symbol"/>
        </w:rPr>
        <w:sym w:font="Symbol" w:char="f0b7"/>
      </w:r>
      <w:r>
        <w:rPr/>
        <w:t xml:space="preserve"> per GJ (the "</w:t>
      </w:r>
      <w:r>
        <w:rPr>
          <w:b/>
        </w:rPr>
        <w:t>Standard</w:t>
      </w:r>
      <w:r>
        <w:rPr/>
        <w:t xml:space="preserve"> </w:t>
      </w:r>
      <w:r>
        <w:rPr>
          <w:b/>
        </w:rPr>
        <w:t>Commodity</w:t>
      </w:r>
      <w:r>
        <w:rPr/>
        <w:t xml:space="preserve"> </w:t>
      </w:r>
      <w:r>
        <w:rPr>
          <w:b/>
        </w:rPr>
        <w:t>Price</w:t>
      </w:r>
      <w:r>
        <w:rPr/>
        <w:t>");</w:t>
      </w:r>
    </w:p>
    <w:p>
      <w:pPr>
        <w:pStyle w:val="Heading2"/>
        <w:numPr>
          <w:ilvl w:val="0"/>
          <w:numId w:val="0"/>
        </w:numPr>
        <w:ind w:firstLine="720" w:start="720" w:end="0"/>
        <w:rPr/>
      </w:pPr>
      <w:r>
        <w:rPr/>
        <w:t>plus</w:t>
      </w:r>
    </w:p>
    <w:p>
      <w:pPr>
        <w:pStyle w:val="Normal"/>
        <w:spacing w:before="0" w:after="0"/>
        <w:ind w:start="720" w:end="0"/>
        <w:rPr/>
      </w:pPr>
      <w:r>
        <w:rPr/>
      </w:r>
    </w:p>
    <w:p>
      <w:pPr>
        <w:pStyle w:val="Heading2"/>
        <w:ind w:hanging="0" w:start="0"/>
        <w:rPr/>
      </w:pPr>
      <w:r>
        <w:rPr/>
        <w:t xml:space="preserve">the </w:t>
      </w:r>
      <w:r>
        <w:rPr>
          <w:b/>
        </w:rPr>
        <w:t>Excess Volume Amounts</w:t>
      </w:r>
      <w:r>
        <w:rPr/>
        <w:t xml:space="preserve"> (as defined in the Terms and Conditions);</w:t>
      </w:r>
    </w:p>
    <w:p>
      <w:pPr>
        <w:pStyle w:val="Normal"/>
        <w:ind w:start="1440" w:end="0"/>
        <w:rPr/>
      </w:pPr>
      <w:r>
        <w:rPr/>
        <w:t>minus</w:t>
      </w:r>
    </w:p>
    <w:p>
      <w:pPr>
        <w:pStyle w:val="Heading2"/>
        <w:ind w:hanging="0" w:start="0"/>
        <w:rPr/>
      </w:pPr>
      <w:r>
        <w:rPr/>
        <w:t xml:space="preserve">the </w:t>
      </w:r>
      <w:r>
        <w:rPr>
          <w:b/>
        </w:rPr>
        <w:t>Unused Volume Amounts</w:t>
      </w:r>
      <w:r>
        <w:rPr/>
        <w:t xml:space="preserve"> (as defined in the Terms and Conditions);</w:t>
      </w:r>
    </w:p>
    <w:p>
      <w:pPr>
        <w:pStyle w:val="Normal"/>
        <w:ind w:start="1440" w:end="0"/>
        <w:rPr/>
      </w:pPr>
      <w:r>
        <w:rPr/>
        <w:t>plus</w:t>
      </w:r>
    </w:p>
    <w:p>
      <w:pPr>
        <w:pStyle w:val="Heading2"/>
        <w:ind w:hanging="0" w:start="0"/>
        <w:rPr/>
      </w:pPr>
      <w:r>
        <w:rPr/>
        <w:t xml:space="preserve">the </w:t>
      </w:r>
      <w:r>
        <w:rPr>
          <w:b/>
        </w:rPr>
        <w:t>Unaccounted For Gas Costs (</w:t>
      </w:r>
      <w:r>
        <w:rPr/>
        <w:t>as defined in the Terms and Conditions);</w:t>
      </w:r>
    </w:p>
    <w:p>
      <w:pPr>
        <w:pStyle w:val="Normal"/>
        <w:ind w:hanging="720" w:start="1440" w:end="0"/>
        <w:rPr/>
      </w:pPr>
      <w:r>
        <w:rPr/>
        <w:tab/>
        <w:t>plus</w:t>
      </w:r>
    </w:p>
    <w:p>
      <w:pPr>
        <w:pStyle w:val="Heading2"/>
        <w:ind w:hanging="0" w:start="0"/>
        <w:rPr/>
      </w:pPr>
      <w:r>
        <w:rPr/>
        <w:t xml:space="preserve">the </w:t>
      </w:r>
      <w:r>
        <w:rPr>
          <w:b/>
        </w:rPr>
        <w:t>Flow-Through Charges</w:t>
      </w:r>
      <w:r>
        <w:rPr/>
        <w:t xml:space="preserve"> (as defined in the Terms and Conditions);</w:t>
      </w:r>
    </w:p>
    <w:p>
      <w:pPr>
        <w:pStyle w:val="Normal"/>
        <w:ind w:hanging="720" w:start="1440" w:end="0"/>
        <w:rPr/>
      </w:pPr>
      <w:r>
        <w:rPr/>
        <w:tab/>
        <w:t>plus</w:t>
      </w:r>
    </w:p>
    <w:p>
      <w:pPr>
        <w:pStyle w:val="Heading2"/>
        <w:ind w:hanging="0" w:start="0"/>
        <w:rPr/>
      </w:pPr>
      <w:r>
        <w:rPr/>
        <w:t xml:space="preserve">the </w:t>
      </w:r>
      <w:r>
        <w:rPr>
          <w:b/>
        </w:rPr>
        <w:t>Taxes</w:t>
      </w:r>
      <w:r>
        <w:rPr/>
        <w:t xml:space="preserve"> (as defined in the Terms and Conditions).</w:t>
      </w:r>
    </w:p>
    <w:p>
      <w:pPr>
        <w:pStyle w:val="Normal"/>
        <w:spacing w:before="240" w:after="240"/>
        <w:rPr/>
      </w:pPr>
      <w:r>
        <w:rPr/>
        <w:t xml:space="preserve">This Application made in ____________________, Alberta on ____________________, 200__ by the Customer with the assistance of ____________________ </w:t>
      </w:r>
      <w:r>
        <w:rPr>
          <w:b/>
        </w:rPr>
        <w:t xml:space="preserve">[Salesperson's Name] </w:t>
      </w:r>
      <w:r>
        <w:rPr/>
        <w:t>of</w:t>
      </w:r>
      <w:r>
        <w:rPr>
          <w:b/>
        </w:rPr>
        <w:t xml:space="preserve"> </w:t>
      </w:r>
      <w:r>
        <w:rPr/>
        <w:t xml:space="preserve">____________________ </w:t>
      </w:r>
      <w:r>
        <w:rPr>
          <w:b/>
        </w:rPr>
        <w:t>[Sales Agency Name]</w:t>
      </w:r>
      <w:r>
        <w:rPr/>
        <w:t>,</w:t>
      </w:r>
      <w:r>
        <w:rPr>
          <w:b/>
        </w:rPr>
        <w:t xml:space="preserve"> </w:t>
      </w:r>
      <w:r>
        <w:rPr/>
        <w:t>sales agent of</w:t>
      </w:r>
      <w:r>
        <w:rPr>
          <w:b/>
        </w:rPr>
        <w:t xml:space="preserve"> </w:t>
      </w:r>
      <w:r>
        <w:rPr/>
        <w:t>Enron Direct.  The Customer understands that the salesperson and sales agent have no authority to accept this Application on behalf of Enron Direct, modify or amend the terms of the Contract or otherwise bind Enron Direct in any way.  The Customer further understands that it is referred to as the "</w:t>
      </w:r>
      <w:r>
        <w:rPr>
          <w:b/>
        </w:rPr>
        <w:t>Customer</w:t>
      </w:r>
      <w:r>
        <w:rPr/>
        <w:t>" in the Terms and Conditions and the notice and appointment of agent attached to this Application (the "</w:t>
      </w:r>
      <w:r>
        <w:rPr>
          <w:b/>
        </w:rPr>
        <w:t>Notice and Appointment of Agent</w:t>
      </w:r>
      <w:r>
        <w:rPr/>
        <w:t>").</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lang w:val="en-CA" w:eastAsia="en-CA"/>
        </w:rPr>
      </w:pPr>
      <w:r>
        <w:rPr>
          <w:lang w:val="en-CA" w:eastAsia="en-CA"/>
        </w:rPr>
      </w:r>
      <w:r>
        <mc:AlternateContent>
          <mc:Choice Requires="wps">
            <w:drawing>
              <wp:anchor behindDoc="0" distT="0" distB="0" distL="114935" distR="114935" simplePos="0" locked="0" layoutInCell="1" allowOverlap="1" relativeHeight="3">
                <wp:simplePos x="0" y="0"/>
                <wp:positionH relativeFrom="column">
                  <wp:posOffset>4385310</wp:posOffset>
                </wp:positionH>
                <wp:positionV relativeFrom="paragraph">
                  <wp:posOffset>48895</wp:posOffset>
                </wp:positionV>
                <wp:extent cx="1847850" cy="750570"/>
                <wp:effectExtent l="0" t="0" r="0" b="0"/>
                <wp:wrapNone/>
                <wp:docPr id="2" name="Frame2"/>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Version:______     Page 2 of 8</w:t>
                            </w:r>
                          </w:p>
                          <w:p>
                            <w:pPr>
                              <w:pStyle w:val="Footer"/>
                              <w:tabs>
                                <w:tab w:val="clear" w:pos="4320"/>
                                <w:tab w:val="clear" w:pos="8640"/>
                              </w:tabs>
                              <w:spacing w:before="0" w:after="0"/>
                              <w:rPr/>
                            </w:pPr>
                            <w:r>
                              <w:rPr/>
                            </w:r>
                          </w:p>
                          <w:p>
                            <w:pPr>
                              <w:pStyle w:val="Footer"/>
                              <w:tabs>
                                <w:tab w:val="clear" w:pos="4320"/>
                                <w:tab w:val="clear" w:pos="8640"/>
                              </w:tabs>
                              <w:spacing w:before="0" w:after="0"/>
                              <w:rPr/>
                            </w:pPr>
                            <w:r>
                              <w:rPr/>
                              <w:t>________________________</w:t>
                            </w:r>
                          </w:p>
                          <w:p>
                            <w:pPr>
                              <w:pStyle w:val="Footer"/>
                              <w:tabs>
                                <w:tab w:val="clear" w:pos="4320"/>
                                <w:tab w:val="clear" w:pos="8640"/>
                              </w:tabs>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3.85pt;mso-position-vertical-relative:text;margin-left:345.3pt;mso-position-horizontal-relative:text">
                <v:textbox>
                  <w:txbxContent>
                    <w:p>
                      <w:pPr>
                        <w:pStyle w:val="Footer"/>
                        <w:tabs>
                          <w:tab w:val="clear" w:pos="4320"/>
                          <w:tab w:val="clear" w:pos="8640"/>
                        </w:tabs>
                        <w:spacing w:before="0" w:after="0"/>
                        <w:rPr/>
                      </w:pPr>
                      <w:r>
                        <w:rPr/>
                        <w:t>Version:______     Page 2 of 8</w:t>
                      </w:r>
                    </w:p>
                    <w:p>
                      <w:pPr>
                        <w:pStyle w:val="Footer"/>
                        <w:tabs>
                          <w:tab w:val="clear" w:pos="4320"/>
                          <w:tab w:val="clear" w:pos="8640"/>
                        </w:tabs>
                        <w:spacing w:before="0" w:after="0"/>
                        <w:rPr/>
                      </w:pPr>
                      <w:r>
                        <w:rPr/>
                      </w:r>
                    </w:p>
                    <w:p>
                      <w:pPr>
                        <w:pStyle w:val="Footer"/>
                        <w:tabs>
                          <w:tab w:val="clear" w:pos="4320"/>
                          <w:tab w:val="clear" w:pos="8640"/>
                        </w:tabs>
                        <w:spacing w:before="0" w:after="0"/>
                        <w:rPr/>
                      </w:pPr>
                      <w:r>
                        <w:rPr/>
                        <w:t>________________________</w:t>
                      </w:r>
                    </w:p>
                    <w:p>
                      <w:pPr>
                        <w:pStyle w:val="Footer"/>
                        <w:tabs>
                          <w:tab w:val="clear" w:pos="4320"/>
                          <w:tab w:val="clear" w:pos="8640"/>
                        </w:tabs>
                        <w:spacing w:before="0" w:after="0"/>
                        <w:rPr/>
                      </w:pPr>
                      <w:r>
                        <w:rPr/>
                        <w:t>Customer Signature</w:t>
                      </w:r>
                    </w:p>
                  </w:txbxContent>
                </v:textbox>
                <w10:wrap type="none"/>
              </v:rect>
            </w:pict>
          </mc:Fallback>
        </mc:AlternateContent>
      </w:r>
    </w:p>
    <w:p>
      <w:pPr>
        <w:pStyle w:val="Normal"/>
        <w:spacing w:before="0" w:after="0"/>
        <w:rPr/>
      </w:pPr>
      <w:r>
        <w:rPr/>
      </w:r>
    </w:p>
    <w:p>
      <w:pPr>
        <w:pStyle w:val="Normal"/>
        <w:spacing w:before="0" w:after="0"/>
        <w:rPr/>
      </w:pPr>
      <w:r>
        <w:rPr/>
      </w:r>
    </w:p>
    <w:p>
      <w:pPr>
        <w:pStyle w:val="Normal"/>
        <w:spacing w:before="0" w:after="0"/>
        <w:jc w:val="end"/>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rPr/>
      </w:pPr>
      <w:r>
        <w:rPr/>
        <w:t>By making this Application, the Customer agrees that Enron Direct may investigate its creditworthiness.  If Enron Direct accepts this Application, it will forward a fully executed copy of this Application together with the Terms and Conditions and the Notice and Appointment of Agent provided to it with this Application and the contract will be a legally enforceable and valid and binding agreement between Enron Direct and the Customer.</w:t>
      </w:r>
    </w:p>
    <w:p>
      <w:pPr>
        <w:pStyle w:val="DEYTemplateStyle"/>
        <w:keepNext w:val="true"/>
        <w:keepLines/>
        <w:rPr>
          <w:sz w:val="20"/>
          <w:lang w:val="en-US" w:eastAsia="en-US"/>
        </w:rPr>
      </w:pPr>
      <w:r>
        <w:rPr>
          <w:sz w:val="20"/>
          <w:lang w:val="en-US" w:eastAsia="en-US"/>
        </w:rPr>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pPr>
      <w:r>
        <w:rPr/>
        <w:br/>
        <w:t xml:space="preserve">Customer (full legal name): </w:t>
      </w:r>
      <w:r>
        <w:rPr>
          <w:u w:val="single"/>
        </w:rPr>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pPr>
      <w:r>
        <w:rPr/>
        <w:t>Name (exactly as it appears on your natural gas bill): See "Customer Name on Bill"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pPr>
      <w:r>
        <w:rPr/>
        <w:t xml:space="preserve">Name and Position of Authorized Signatory:  </w:t>
      </w:r>
      <w:r>
        <w:rPr>
          <w:u w:val="single"/>
        </w:rPr>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pPr>
      <w:r>
        <w:rPr/>
        <w:t xml:space="preserve">Signature:  </w:t>
      </w:r>
      <w:r>
        <w:rPr>
          <w:u w:val="single"/>
        </w:rPr>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pPr>
      <w:r>
        <w:rPr/>
        <w:t>Service Address:  See "Service Address"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jc w:val="start"/>
        <w:rPr/>
      </w:pPr>
      <w:r>
        <w:rPr/>
        <w:t xml:space="preserve">Name of Service Address (as it appears on your existing natural gas bill):  See "Location Name" as described in Schedule "A" hereto. </w:t>
      </w:r>
      <w:r>
        <w:rPr>
          <w:u w:val="single"/>
        </w:rPr>
        <w:br/>
        <w:br/>
      </w:r>
      <w:r>
        <w:rPr/>
        <w:t>Mailing Address:  See "Mailing Address"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left" w:pos="1350" w:leader="none"/>
          <w:tab w:val="left" w:pos="4320" w:leader="none"/>
          <w:tab w:val="left" w:pos="6120" w:leader="none"/>
          <w:tab w:val="right" w:pos="9090" w:leader="none"/>
        </w:tabs>
        <w:rPr/>
      </w:pPr>
      <w:r>
        <w:rPr/>
        <w:t xml:space="preserve">Phone:  </w:t>
      </w:r>
      <w:r>
        <w:rPr>
          <w:u w:val="single"/>
        </w:rPr>
        <w:tab/>
        <w:tab/>
        <w:tab/>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left" w:pos="4860" w:leader="none"/>
          <w:tab w:val="left" w:pos="5490" w:leader="none"/>
          <w:tab w:val="right" w:pos="9090" w:leader="none"/>
        </w:tabs>
        <w:rPr/>
      </w:pPr>
      <w:r>
        <w:rPr/>
        <w:t xml:space="preserve">Emergency Contact Name and Number:  </w:t>
      </w:r>
      <w:r>
        <w:rPr>
          <w:u w:val="single"/>
        </w:rPr>
        <w:tab/>
        <w:tab/>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u w:val="single"/>
        </w:rPr>
      </w:pPr>
      <w:r>
        <w:rPr/>
        <w:t>Existing Utility Account Number/Service I.D.:  See "Account Number" as described in Schedule "A" hereto.</w:t>
      </w:r>
    </w:p>
    <w:p>
      <w:pPr>
        <w:pStyle w:val="Normal"/>
        <w:pBdr>
          <w:top w:val="single" w:sz="4" w:space="1" w:color="000000"/>
          <w:left w:val="single" w:sz="4" w:space="4" w:color="000000"/>
          <w:bottom w:val="single" w:sz="4" w:space="1" w:color="000000"/>
          <w:right w:val="single" w:sz="4" w:space="4" w:color="000000"/>
        </w:pBdr>
        <w:tabs>
          <w:tab w:val="clear" w:pos="720"/>
          <w:tab w:val="right" w:pos="9090" w:leader="none"/>
        </w:tabs>
        <w:rPr>
          <w:u w:val="single"/>
        </w:rPr>
      </w:pPr>
      <w:r>
        <w:rPr>
          <w:u w:val="single"/>
        </w:rPr>
      </w:r>
    </w:p>
    <w:p>
      <w:pPr>
        <w:pStyle w:val="Normal"/>
        <w:spacing w:before="240" w:after="0"/>
        <w:jc w:val="start"/>
        <w:rPr/>
      </w:pPr>
      <w:r>
        <w:rPr>
          <w:b/>
        </w:rPr>
        <w:t>ACCEPTED AND AGREED</w:t>
      </w:r>
      <w:r>
        <w:rPr/>
        <w:t xml:space="preserve"> effective as of </w:t>
        <w:br/>
        <w:t>____________________, 200__.</w:t>
      </w:r>
    </w:p>
    <w:p>
      <w:pPr>
        <w:pStyle w:val="Normal"/>
        <w:spacing w:before="0" w:after="0"/>
        <w:jc w:val="start"/>
        <w:rPr>
          <w:b/>
        </w:rPr>
      </w:pPr>
      <w:r>
        <w:rPr>
          <w:b/>
        </w:rPr>
      </w:r>
    </w:p>
    <w:p>
      <w:pPr>
        <w:pStyle w:val="Normal"/>
        <w:spacing w:before="0" w:after="0"/>
        <w:jc w:val="start"/>
        <w:rPr>
          <w:b/>
        </w:rPr>
      </w:pPr>
      <w:r>
        <w:rPr>
          <w:b/>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spacing w:before="0" w:after="0"/>
              <w:jc w:val="start"/>
              <w:rPr/>
            </w:pPr>
            <w:r>
              <w:rPr/>
              <w:t>ENRON DIRECT CANADA CORP., as general partner for and on behalf of the ENRON DIRECT LIMITED PARTNERSHIP</w:t>
            </w:r>
          </w:p>
        </w:tc>
        <w:tc>
          <w:tcPr>
            <w:tcW w:w="4968" w:type="dxa"/>
            <w:tcBorders/>
          </w:tcPr>
          <w:p>
            <w:pPr>
              <w:pStyle w:val="Normal"/>
              <w:snapToGrid w:val="false"/>
              <w:spacing w:before="0" w:after="0"/>
              <w:jc w:val="start"/>
              <w:rPr>
                <w:b/>
              </w:rPr>
            </w:pPr>
            <w:r>
              <w:rPr>
                <w:b/>
              </w:rPr>
            </w:r>
          </w:p>
        </w:tc>
      </w:tr>
      <w:tr>
        <w:trPr/>
        <w:tc>
          <w:tcPr>
            <w:tcW w:w="4608" w:type="dxa"/>
            <w:tcBorders/>
          </w:tcPr>
          <w:p>
            <w:pPr>
              <w:pStyle w:val="Normal"/>
              <w:snapToGrid w:val="false"/>
              <w:spacing w:before="0" w:after="0"/>
              <w:jc w:val="start"/>
              <w:rPr>
                <w:b/>
                <w:u w:val="single"/>
              </w:rPr>
            </w:pPr>
            <w:r>
              <w:rPr>
                <w:b/>
                <w:u w:val="single"/>
              </w:rPr>
            </w:r>
          </w:p>
          <w:p>
            <w:pPr>
              <w:pStyle w:val="Normal"/>
              <w:spacing w:before="0" w:after="0"/>
              <w:jc w:val="start"/>
              <w:rPr>
                <w:u w:val="single"/>
              </w:rPr>
            </w:pPr>
            <w:r>
              <w:rPr>
                <w:u w:val="single"/>
              </w:rPr>
            </w:r>
          </w:p>
          <w:p>
            <w:pPr>
              <w:pStyle w:val="Normal"/>
              <w:spacing w:before="0" w:after="0"/>
              <w:jc w:val="start"/>
              <w:rPr>
                <w:u w:val="single"/>
              </w:rPr>
            </w:pPr>
            <w:r>
              <w:rPr>
                <w:u w:val="single"/>
              </w:rPr>
              <w:tab/>
              <w:tab/>
              <w:tab/>
              <w:tab/>
              <w:tab/>
              <w:tab/>
              <w:br/>
              <w:br/>
            </w:r>
          </w:p>
        </w:tc>
        <w:tc>
          <w:tcPr>
            <w:tcW w:w="4968" w:type="dxa"/>
            <w:tcBorders/>
          </w:tcPr>
          <w:p>
            <w:pPr>
              <w:pStyle w:val="Normal"/>
              <w:snapToGrid w:val="false"/>
              <w:spacing w:before="0" w:after="0"/>
              <w:jc w:val="start"/>
              <w:rPr>
                <w:b/>
              </w:rPr>
            </w:pPr>
            <w:r>
              <w:rPr>
                <w:b/>
              </w:rPr>
            </w:r>
          </w:p>
        </w:tc>
      </w:tr>
    </w:tbl>
    <w:p>
      <w:pPr>
        <w:sectPr>
          <w:footerReference w:type="default" r:id="rId2"/>
          <w:type w:val="nextPage"/>
          <w:pgSz w:w="12240" w:h="15840"/>
          <w:pgMar w:left="1080" w:right="1080" w:gutter="0" w:header="0" w:top="432" w:footer="288" w:bottom="1080"/>
          <w:pgNumType w:start="1" w:fmt="decimal"/>
          <w:formProt w:val="false"/>
          <w:textDirection w:val="lrTb"/>
          <w:docGrid w:type="default" w:linePitch="360" w:charSpace="0"/>
        </w:sectPr>
      </w:pPr>
    </w:p>
    <w:p>
      <w:pPr>
        <w:pStyle w:val="Heading"/>
        <w:rPr>
          <w:b w:val="false"/>
          <w:sz w:val="20"/>
          <w:lang w:val="en-CA" w:eastAsia="en-CA"/>
        </w:rPr>
      </w:pPr>
      <w:r>
        <w:rPr>
          <w:b w:val="false"/>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6557010</wp:posOffset>
                </wp:positionH>
                <wp:positionV relativeFrom="paragraph">
                  <wp:posOffset>-6985</wp:posOffset>
                </wp:positionV>
                <wp:extent cx="1847850" cy="750570"/>
                <wp:effectExtent l="0" t="0" r="0" b="0"/>
                <wp:wrapNone/>
                <wp:docPr id="3" name="Frame3"/>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     Page 3 of 8</w:t>
                            </w:r>
                          </w:p>
                          <w:p>
                            <w:pPr>
                              <w:pStyle w:val="Normal"/>
                              <w:spacing w:before="0" w:after="0"/>
                              <w:rPr/>
                            </w:pPr>
                            <w:r>
                              <w:rPr/>
                            </w:r>
                          </w:p>
                          <w:p>
                            <w:pPr>
                              <w:pStyle w:val="Normal"/>
                              <w:spacing w:before="0" w:after="0"/>
                              <w:rPr/>
                            </w:pPr>
                            <w:r>
                              <w:rPr/>
                              <w:t>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0.55pt;mso-position-vertical-relative:text;margin-left:516.3pt;mso-position-horizontal-relative:text">
                <v:textbox>
                  <w:txbxContent>
                    <w:p>
                      <w:pPr>
                        <w:pStyle w:val="Footer"/>
                        <w:tabs>
                          <w:tab w:val="clear" w:pos="4320"/>
                          <w:tab w:val="clear" w:pos="8640"/>
                        </w:tabs>
                        <w:spacing w:before="0" w:after="0"/>
                        <w:rPr/>
                      </w:pPr>
                      <w:r>
                        <w:rPr/>
                        <w:t>Version:_____     Page 3 of 8</w:t>
                      </w:r>
                    </w:p>
                    <w:p>
                      <w:pPr>
                        <w:pStyle w:val="Normal"/>
                        <w:spacing w:before="0" w:after="0"/>
                        <w:rPr/>
                      </w:pPr>
                      <w:r>
                        <w:rPr/>
                      </w:r>
                    </w:p>
                    <w:p>
                      <w:pPr>
                        <w:pStyle w:val="Normal"/>
                        <w:spacing w:before="0" w:after="0"/>
                        <w:rPr/>
                      </w:pPr>
                      <w:r>
                        <w:rPr/>
                        <w:t>_______________________</w:t>
                      </w:r>
                    </w:p>
                    <w:p>
                      <w:pPr>
                        <w:pStyle w:val="Normal"/>
                        <w:spacing w:before="0" w:after="0"/>
                        <w:rPr/>
                      </w:pPr>
                      <w:r>
                        <w:rPr/>
                        <w:t>Customer Signature</w:t>
                      </w:r>
                    </w:p>
                  </w:txbxContent>
                </v:textbox>
                <w10:wrap type="none"/>
              </v:rect>
            </w:pict>
          </mc:Fallback>
        </mc:AlternateContent>
      </w:r>
    </w:p>
    <w:p>
      <w:pPr>
        <w:pStyle w:val="Heading"/>
        <w:rPr>
          <w:sz w:val="20"/>
        </w:rPr>
      </w:pPr>
      <w:r>
        <w:rPr>
          <w:sz w:val="20"/>
        </w:rPr>
        <w:t>SCHEDULE "A"</w:t>
      </w:r>
    </w:p>
    <w:p>
      <w:pPr>
        <w:pStyle w:val="Normal"/>
        <w:spacing w:before="0" w:after="0"/>
        <w:jc w:val="center"/>
        <w:rPr>
          <w:b/>
          <w:sz w:val="20"/>
        </w:rPr>
      </w:pPr>
      <w:r>
        <w:rPr>
          <w:b/>
          <w:sz w:val="20"/>
        </w:rPr>
      </w:r>
    </w:p>
    <w:p>
      <w:pPr>
        <w:pStyle w:val="Normal"/>
        <w:spacing w:before="0" w:after="0"/>
        <w:jc w:val="center"/>
        <w:rPr>
          <w:b/>
        </w:rPr>
      </w:pPr>
      <w:r>
        <w:rPr>
          <w:b/>
        </w:rPr>
        <w:t>SERVICE ADDRESS INFORMATION</w:t>
      </w:r>
    </w:p>
    <w:p>
      <w:pPr>
        <w:pStyle w:val="Normal"/>
        <w:spacing w:before="0" w:after="0"/>
        <w:jc w:val="end"/>
        <w:rPr>
          <w:b/>
        </w:rPr>
      </w:pPr>
      <w:r>
        <w:rPr>
          <w:b/>
        </w:rPr>
      </w:r>
    </w:p>
    <w:p>
      <w:pPr>
        <w:pStyle w:val="Normal"/>
        <w:spacing w:before="0" w:after="0"/>
        <w:jc w:val="end"/>
        <w:rPr>
          <w:b/>
        </w:rPr>
      </w:pPr>
      <w:r>
        <w:rPr>
          <w:b/>
        </w:rPr>
      </w:r>
    </w:p>
    <w:p>
      <w:pPr>
        <w:pStyle w:val="Normal"/>
        <w:spacing w:before="0" w:after="0"/>
        <w:rPr>
          <w:b/>
        </w:rPr>
      </w:pPr>
      <w:r>
        <w:rPr>
          <w:b/>
        </w:rPr>
      </w:r>
    </w:p>
    <w:p>
      <w:pPr>
        <w:pStyle w:val="Normal"/>
        <w:spacing w:before="0" w:after="0"/>
        <w:rPr/>
      </w:pPr>
      <w:r>
        <w:rPr/>
        <w:t>The "</w:t>
      </w:r>
      <w:r>
        <w:rPr>
          <w:b/>
          <w:bCs/>
        </w:rPr>
        <w:t>Monthly</w:t>
      </w:r>
      <w:r>
        <w:rPr/>
        <w:t xml:space="preserve"> </w:t>
      </w:r>
      <w:r>
        <w:rPr>
          <w:b/>
        </w:rPr>
        <w:t>Normalized Volume</w:t>
      </w:r>
      <w:r>
        <w:rPr/>
        <w:t xml:space="preserve">" for each calendar month of each year during the </w:t>
      </w:r>
      <w:r>
        <w:rPr>
          <w:bCs/>
        </w:rPr>
        <w:t>Term</w:t>
      </w:r>
      <w:r>
        <w:rPr/>
        <w:t xml:space="preserve"> for each Service Address shall be as specified below:</w:t>
      </w:r>
    </w:p>
    <w:p>
      <w:pPr>
        <w:pStyle w:val="Normal"/>
        <w:spacing w:before="0" w:after="0"/>
        <w:rPr/>
      </w:pPr>
      <w:r>
        <w:rPr/>
      </w:r>
    </w:p>
    <w:p>
      <w:pPr>
        <w:pStyle w:val="Normal"/>
        <w:spacing w:before="0" w:after="0"/>
        <w:rPr/>
      </w:pPr>
      <w:r>
        <w:rPr/>
      </w:r>
    </w:p>
    <w:tbl>
      <w:tblPr>
        <w:tblW w:w="13860" w:type="dxa"/>
        <w:jc w:val="start"/>
        <w:tblInd w:w="-72" w:type="dxa"/>
        <w:tblLayout w:type="fixed"/>
        <w:tblCellMar>
          <w:top w:w="0" w:type="dxa"/>
          <w:start w:w="108" w:type="dxa"/>
          <w:bottom w:w="0" w:type="dxa"/>
          <w:end w:w="108" w:type="dxa"/>
        </w:tblCellMar>
      </w:tblPr>
      <w:tblGrid>
        <w:gridCol w:w="2610"/>
        <w:gridCol w:w="1950"/>
        <w:gridCol w:w="1950"/>
        <w:gridCol w:w="1950"/>
        <w:gridCol w:w="1710"/>
        <w:gridCol w:w="1845"/>
        <w:gridCol w:w="1845"/>
      </w:tblGrid>
      <w:tr>
        <w:trPr/>
        <w:tc>
          <w:tcPr>
            <w:tcW w:w="2610" w:type="dxa"/>
            <w:tcBorders>
              <w:top w:val="single" w:sz="12" w:space="0" w:color="008000"/>
              <w:bottom w:val="single" w:sz="6" w:space="0" w:color="008000"/>
            </w:tcBorders>
          </w:tcPr>
          <w:p>
            <w:pPr>
              <w:pStyle w:val="Normal"/>
              <w:spacing w:before="0" w:after="0"/>
              <w:jc w:val="center"/>
              <w:rPr>
                <w:sz w:val="16"/>
              </w:rPr>
            </w:pPr>
            <w:r>
              <w:rPr>
                <w:sz w:val="16"/>
              </w:rPr>
              <w:t>Customer Name on Bill</w:t>
            </w:r>
          </w:p>
        </w:tc>
        <w:tc>
          <w:tcPr>
            <w:tcW w:w="1950" w:type="dxa"/>
            <w:tcBorders>
              <w:top w:val="single" w:sz="12" w:space="0" w:color="008000"/>
              <w:bottom w:val="single" w:sz="6" w:space="0" w:color="008000"/>
            </w:tcBorders>
          </w:tcPr>
          <w:p>
            <w:pPr>
              <w:pStyle w:val="Normal"/>
              <w:spacing w:before="0" w:after="0"/>
              <w:jc w:val="center"/>
              <w:rPr>
                <w:sz w:val="16"/>
              </w:rPr>
            </w:pPr>
            <w:r>
              <w:rPr>
                <w:sz w:val="16"/>
              </w:rPr>
              <w:t>Service Address</w:t>
            </w:r>
          </w:p>
        </w:tc>
        <w:tc>
          <w:tcPr>
            <w:tcW w:w="1950" w:type="dxa"/>
            <w:tcBorders>
              <w:top w:val="single" w:sz="12" w:space="0" w:color="008000"/>
              <w:bottom w:val="single" w:sz="6" w:space="0" w:color="008000"/>
            </w:tcBorders>
          </w:tcPr>
          <w:p>
            <w:pPr>
              <w:pStyle w:val="Normal"/>
              <w:spacing w:before="0" w:after="0"/>
              <w:jc w:val="center"/>
              <w:rPr>
                <w:sz w:val="16"/>
              </w:rPr>
            </w:pPr>
            <w:r>
              <w:rPr>
                <w:sz w:val="16"/>
              </w:rPr>
              <w:t>Location Name</w:t>
            </w:r>
          </w:p>
        </w:tc>
        <w:tc>
          <w:tcPr>
            <w:tcW w:w="1950" w:type="dxa"/>
            <w:tcBorders>
              <w:top w:val="single" w:sz="12" w:space="0" w:color="008000"/>
              <w:bottom w:val="single" w:sz="6" w:space="0" w:color="008000"/>
            </w:tcBorders>
          </w:tcPr>
          <w:p>
            <w:pPr>
              <w:pStyle w:val="Normal"/>
              <w:spacing w:before="0" w:after="0"/>
              <w:jc w:val="center"/>
              <w:rPr>
                <w:sz w:val="16"/>
              </w:rPr>
            </w:pPr>
            <w:r>
              <w:rPr>
                <w:sz w:val="16"/>
              </w:rPr>
              <w:t>Mailing Address</w:t>
            </w:r>
          </w:p>
        </w:tc>
        <w:tc>
          <w:tcPr>
            <w:tcW w:w="1710" w:type="dxa"/>
            <w:tcBorders>
              <w:top w:val="single" w:sz="12" w:space="0" w:color="008000"/>
              <w:bottom w:val="single" w:sz="6" w:space="0" w:color="008000"/>
            </w:tcBorders>
          </w:tcPr>
          <w:p>
            <w:pPr>
              <w:pStyle w:val="Normal"/>
              <w:spacing w:before="0" w:after="0"/>
              <w:jc w:val="center"/>
              <w:rPr>
                <w:sz w:val="16"/>
              </w:rPr>
            </w:pPr>
            <w:r>
              <w:rPr>
                <w:sz w:val="16"/>
              </w:rPr>
              <w:t>Account Number</w:t>
            </w:r>
          </w:p>
        </w:tc>
        <w:tc>
          <w:tcPr>
            <w:tcW w:w="3690" w:type="dxa"/>
            <w:gridSpan w:val="2"/>
            <w:tcBorders>
              <w:top w:val="single" w:sz="12" w:space="0" w:color="008000"/>
              <w:bottom w:val="single" w:sz="6" w:space="0" w:color="008000"/>
            </w:tcBorders>
          </w:tcPr>
          <w:p>
            <w:pPr>
              <w:pStyle w:val="Normal"/>
              <w:spacing w:before="0" w:after="0"/>
              <w:jc w:val="center"/>
              <w:rPr>
                <w:sz w:val="16"/>
              </w:rPr>
            </w:pPr>
            <w:r>
              <w:rPr>
                <w:sz w:val="16"/>
              </w:rPr>
              <w:t>Monthly Normalized Volume (GJs)</w:t>
            </w:r>
          </w:p>
          <w:p>
            <w:pPr>
              <w:pStyle w:val="Normal"/>
              <w:spacing w:before="0" w:after="0"/>
              <w:jc w:val="center"/>
              <w:rPr>
                <w:sz w:val="16"/>
              </w:rPr>
            </w:pPr>
            <w:r>
              <w:rPr>
                <w:sz w:val="16"/>
              </w:rPr>
            </w:r>
          </w:p>
        </w:tc>
      </w:tr>
      <w:tr>
        <w:trPr/>
        <w:tc>
          <w:tcPr>
            <w:tcW w:w="2610" w:type="dxa"/>
            <w:tcBorders>
              <w:top w:val="single" w:sz="6" w:space="0" w:color="008000"/>
            </w:tcBorders>
          </w:tcPr>
          <w:p>
            <w:pPr>
              <w:pStyle w:val="Normal"/>
              <w:snapToGrid w:val="false"/>
              <w:spacing w:before="0" w:after="0"/>
              <w:rPr>
                <w:sz w:val="16"/>
              </w:rPr>
            </w:pPr>
            <w:r>
              <w:rPr>
                <w:sz w:val="16"/>
              </w:rPr>
            </w:r>
          </w:p>
        </w:tc>
        <w:tc>
          <w:tcPr>
            <w:tcW w:w="1950" w:type="dxa"/>
            <w:tcBorders>
              <w:top w:val="single" w:sz="6" w:space="0" w:color="008000"/>
            </w:tcBorders>
          </w:tcPr>
          <w:p>
            <w:pPr>
              <w:pStyle w:val="Normal"/>
              <w:snapToGrid w:val="false"/>
              <w:spacing w:before="0" w:after="0"/>
              <w:rPr>
                <w:sz w:val="16"/>
              </w:rPr>
            </w:pPr>
            <w:r>
              <w:rPr>
                <w:sz w:val="16"/>
              </w:rPr>
            </w:r>
          </w:p>
        </w:tc>
        <w:tc>
          <w:tcPr>
            <w:tcW w:w="1950" w:type="dxa"/>
            <w:tcBorders>
              <w:top w:val="single" w:sz="6" w:space="0" w:color="008000"/>
            </w:tcBorders>
          </w:tcPr>
          <w:p>
            <w:pPr>
              <w:pStyle w:val="Normal"/>
              <w:snapToGrid w:val="false"/>
              <w:spacing w:before="0" w:after="0"/>
              <w:rPr>
                <w:sz w:val="16"/>
              </w:rPr>
            </w:pPr>
            <w:r>
              <w:rPr>
                <w:sz w:val="16"/>
              </w:rPr>
            </w:r>
          </w:p>
        </w:tc>
        <w:tc>
          <w:tcPr>
            <w:tcW w:w="1950" w:type="dxa"/>
            <w:tcBorders>
              <w:top w:val="single" w:sz="6" w:space="0" w:color="008000"/>
            </w:tcBorders>
          </w:tcPr>
          <w:p>
            <w:pPr>
              <w:pStyle w:val="Normal"/>
              <w:snapToGrid w:val="false"/>
              <w:spacing w:before="0" w:after="0"/>
              <w:rPr>
                <w:sz w:val="16"/>
              </w:rPr>
            </w:pPr>
            <w:r>
              <w:rPr>
                <w:sz w:val="16"/>
              </w:rPr>
            </w:r>
          </w:p>
        </w:tc>
        <w:tc>
          <w:tcPr>
            <w:tcW w:w="1710" w:type="dxa"/>
            <w:tcBorders>
              <w:top w:val="single" w:sz="6" w:space="0" w:color="008000"/>
            </w:tcBorders>
          </w:tcPr>
          <w:p>
            <w:pPr>
              <w:pStyle w:val="Normal"/>
              <w:snapToGrid w:val="false"/>
              <w:spacing w:before="0" w:after="0"/>
              <w:rPr>
                <w:sz w:val="16"/>
              </w:rPr>
            </w:pPr>
            <w:r>
              <w:rPr>
                <w:sz w:val="16"/>
              </w:rPr>
            </w:r>
          </w:p>
        </w:tc>
        <w:tc>
          <w:tcPr>
            <w:tcW w:w="1845" w:type="dxa"/>
            <w:tcBorders>
              <w:top w:val="single" w:sz="6" w:space="0" w:color="008000"/>
            </w:tcBorders>
          </w:tcPr>
          <w:p>
            <w:pPr>
              <w:pStyle w:val="Normal"/>
              <w:spacing w:before="0" w:after="0"/>
              <w:rPr>
                <w:sz w:val="16"/>
              </w:rPr>
            </w:pPr>
            <w:r>
              <w:rPr>
                <w:sz w:val="16"/>
              </w:rPr>
              <w:t>January:</w:t>
            </w:r>
          </w:p>
          <w:p>
            <w:pPr>
              <w:pStyle w:val="Normal"/>
              <w:spacing w:before="0" w:after="0"/>
              <w:rPr>
                <w:sz w:val="16"/>
              </w:rPr>
            </w:pPr>
            <w:r>
              <w:rPr>
                <w:sz w:val="16"/>
              </w:rPr>
              <w:t>February:</w:t>
            </w:r>
          </w:p>
          <w:p>
            <w:pPr>
              <w:pStyle w:val="Normal"/>
              <w:spacing w:before="0" w:after="0"/>
              <w:rPr>
                <w:sz w:val="16"/>
              </w:rPr>
            </w:pPr>
            <w:r>
              <w:rPr>
                <w:sz w:val="16"/>
              </w:rPr>
              <w:t>March:</w:t>
            </w:r>
          </w:p>
          <w:p>
            <w:pPr>
              <w:pStyle w:val="Normal"/>
              <w:spacing w:before="0" w:after="0"/>
              <w:rPr>
                <w:sz w:val="16"/>
              </w:rPr>
            </w:pPr>
            <w:r>
              <w:rPr>
                <w:sz w:val="16"/>
              </w:rPr>
              <w:t>April:</w:t>
            </w:r>
          </w:p>
          <w:p>
            <w:pPr>
              <w:pStyle w:val="Normal"/>
              <w:spacing w:before="0" w:after="0"/>
              <w:rPr>
                <w:sz w:val="16"/>
              </w:rPr>
            </w:pPr>
            <w:r>
              <w:rPr>
                <w:sz w:val="16"/>
              </w:rPr>
              <w:t>May:</w:t>
            </w:r>
          </w:p>
          <w:p>
            <w:pPr>
              <w:pStyle w:val="Normal"/>
              <w:spacing w:before="0" w:after="0"/>
              <w:rPr>
                <w:sz w:val="16"/>
              </w:rPr>
            </w:pPr>
            <w:r>
              <w:rPr>
                <w:sz w:val="16"/>
              </w:rPr>
              <w:t>June:</w:t>
            </w:r>
          </w:p>
        </w:tc>
        <w:tc>
          <w:tcPr>
            <w:tcW w:w="1845" w:type="dxa"/>
            <w:tcBorders>
              <w:top w:val="single" w:sz="6" w:space="0" w:color="008000"/>
            </w:tcBorders>
          </w:tcPr>
          <w:p>
            <w:pPr>
              <w:pStyle w:val="Normal"/>
              <w:spacing w:before="0" w:after="0"/>
              <w:rPr>
                <w:sz w:val="16"/>
              </w:rPr>
            </w:pPr>
            <w:r>
              <w:rPr>
                <w:sz w:val="16"/>
              </w:rPr>
              <w:t>July:</w:t>
            </w:r>
          </w:p>
          <w:p>
            <w:pPr>
              <w:pStyle w:val="Normal"/>
              <w:spacing w:before="0" w:after="0"/>
              <w:rPr>
                <w:sz w:val="16"/>
              </w:rPr>
            </w:pPr>
            <w:r>
              <w:rPr>
                <w:sz w:val="16"/>
              </w:rPr>
              <w:t>August:</w:t>
            </w:r>
          </w:p>
          <w:p>
            <w:pPr>
              <w:pStyle w:val="Normal"/>
              <w:spacing w:before="0" w:after="0"/>
              <w:rPr>
                <w:sz w:val="16"/>
              </w:rPr>
            </w:pPr>
            <w:r>
              <w:rPr>
                <w:sz w:val="16"/>
              </w:rPr>
              <w:t>September:</w:t>
            </w:r>
          </w:p>
          <w:p>
            <w:pPr>
              <w:pStyle w:val="Normal"/>
              <w:spacing w:before="0" w:after="0"/>
              <w:rPr>
                <w:sz w:val="16"/>
              </w:rPr>
            </w:pPr>
            <w:r>
              <w:rPr>
                <w:sz w:val="16"/>
              </w:rPr>
              <w:t>October:</w:t>
            </w:r>
          </w:p>
          <w:p>
            <w:pPr>
              <w:pStyle w:val="Normal"/>
              <w:spacing w:before="0" w:after="0"/>
              <w:rPr>
                <w:sz w:val="16"/>
              </w:rPr>
            </w:pPr>
            <w:r>
              <w:rPr>
                <w:sz w:val="16"/>
              </w:rPr>
              <w:t>November:</w:t>
            </w:r>
          </w:p>
          <w:p>
            <w:pPr>
              <w:pStyle w:val="Normal"/>
              <w:spacing w:before="0" w:after="0"/>
              <w:rPr>
                <w:sz w:val="16"/>
              </w:rPr>
            </w:pPr>
            <w:r>
              <w:rPr>
                <w:sz w:val="16"/>
              </w:rPr>
              <w:t>December:</w:t>
            </w:r>
          </w:p>
          <w:p>
            <w:pPr>
              <w:pStyle w:val="Normal"/>
              <w:spacing w:before="0" w:after="0"/>
              <w:rPr>
                <w:sz w:val="16"/>
              </w:rPr>
            </w:pPr>
            <w:r>
              <w:rPr>
                <w:sz w:val="16"/>
              </w:rPr>
            </w:r>
          </w:p>
        </w:tc>
      </w:tr>
      <w:tr>
        <w:trPr/>
        <w:tc>
          <w:tcPr>
            <w:tcW w:w="2610" w:type="dxa"/>
            <w:tcBorders/>
          </w:tcPr>
          <w:p>
            <w:pPr>
              <w:pStyle w:val="Normal"/>
              <w:snapToGrid w:val="false"/>
              <w:spacing w:before="0" w:after="0"/>
              <w:rPr>
                <w:sz w:val="16"/>
              </w:rPr>
            </w:pPr>
            <w:r>
              <w:rPr>
                <w:sz w:val="16"/>
              </w:rPr>
            </w:r>
          </w:p>
        </w:tc>
        <w:tc>
          <w:tcPr>
            <w:tcW w:w="1950" w:type="dxa"/>
            <w:tcBorders/>
          </w:tcPr>
          <w:p>
            <w:pPr>
              <w:pStyle w:val="Normal"/>
              <w:snapToGrid w:val="false"/>
              <w:spacing w:before="0" w:after="0"/>
              <w:rPr/>
            </w:pPr>
            <w:r>
              <w:rPr/>
            </w:r>
          </w:p>
        </w:tc>
        <w:tc>
          <w:tcPr>
            <w:tcW w:w="1950" w:type="dxa"/>
            <w:tcBorders/>
          </w:tcPr>
          <w:p>
            <w:pPr>
              <w:pStyle w:val="Normal"/>
              <w:snapToGrid w:val="false"/>
              <w:spacing w:before="0" w:after="0"/>
              <w:rPr/>
            </w:pPr>
            <w:r>
              <w:rPr/>
            </w:r>
          </w:p>
        </w:tc>
        <w:tc>
          <w:tcPr>
            <w:tcW w:w="1950" w:type="dxa"/>
            <w:tcBorders/>
          </w:tcPr>
          <w:p>
            <w:pPr>
              <w:pStyle w:val="Normal"/>
              <w:snapToGrid w:val="false"/>
              <w:spacing w:before="0" w:after="0"/>
              <w:rPr/>
            </w:pPr>
            <w:r>
              <w:rPr/>
            </w:r>
          </w:p>
        </w:tc>
        <w:tc>
          <w:tcPr>
            <w:tcW w:w="1710" w:type="dxa"/>
            <w:tcBorders/>
          </w:tcPr>
          <w:p>
            <w:pPr>
              <w:pStyle w:val="Normal"/>
              <w:snapToGrid w:val="false"/>
              <w:spacing w:before="0" w:after="0"/>
              <w:rPr/>
            </w:pPr>
            <w:r>
              <w:rPr/>
            </w:r>
          </w:p>
        </w:tc>
        <w:tc>
          <w:tcPr>
            <w:tcW w:w="1845" w:type="dxa"/>
            <w:tcBorders/>
          </w:tcPr>
          <w:p>
            <w:pPr>
              <w:pStyle w:val="Normal"/>
              <w:spacing w:before="0" w:after="0"/>
              <w:rPr>
                <w:sz w:val="16"/>
              </w:rPr>
            </w:pPr>
            <w:r>
              <w:rPr>
                <w:sz w:val="16"/>
              </w:rPr>
              <w:t>January:</w:t>
            </w:r>
          </w:p>
          <w:p>
            <w:pPr>
              <w:pStyle w:val="Normal"/>
              <w:spacing w:before="0" w:after="0"/>
              <w:rPr>
                <w:sz w:val="16"/>
              </w:rPr>
            </w:pPr>
            <w:r>
              <w:rPr>
                <w:sz w:val="16"/>
              </w:rPr>
              <w:t>February:</w:t>
            </w:r>
          </w:p>
          <w:p>
            <w:pPr>
              <w:pStyle w:val="Normal"/>
              <w:spacing w:before="0" w:after="0"/>
              <w:rPr>
                <w:sz w:val="16"/>
              </w:rPr>
            </w:pPr>
            <w:r>
              <w:rPr>
                <w:sz w:val="16"/>
              </w:rPr>
              <w:t>March:</w:t>
            </w:r>
          </w:p>
          <w:p>
            <w:pPr>
              <w:pStyle w:val="Normal"/>
              <w:spacing w:before="0" w:after="0"/>
              <w:rPr>
                <w:sz w:val="16"/>
              </w:rPr>
            </w:pPr>
            <w:r>
              <w:rPr>
                <w:sz w:val="16"/>
              </w:rPr>
              <w:t>April:</w:t>
            </w:r>
          </w:p>
          <w:p>
            <w:pPr>
              <w:pStyle w:val="Normal"/>
              <w:spacing w:before="0" w:after="0"/>
              <w:rPr>
                <w:sz w:val="16"/>
              </w:rPr>
            </w:pPr>
            <w:r>
              <w:rPr>
                <w:sz w:val="16"/>
              </w:rPr>
              <w:t>May:</w:t>
            </w:r>
          </w:p>
          <w:p>
            <w:pPr>
              <w:pStyle w:val="Normal"/>
              <w:spacing w:before="0" w:after="0"/>
              <w:rPr>
                <w:sz w:val="16"/>
              </w:rPr>
            </w:pPr>
            <w:r>
              <w:rPr>
                <w:sz w:val="16"/>
              </w:rPr>
              <w:t>June:</w:t>
            </w:r>
          </w:p>
        </w:tc>
        <w:tc>
          <w:tcPr>
            <w:tcW w:w="1845" w:type="dxa"/>
            <w:tcBorders/>
          </w:tcPr>
          <w:p>
            <w:pPr>
              <w:pStyle w:val="Normal"/>
              <w:spacing w:before="0" w:after="0"/>
              <w:rPr>
                <w:sz w:val="16"/>
              </w:rPr>
            </w:pPr>
            <w:r>
              <w:rPr>
                <w:sz w:val="16"/>
              </w:rPr>
              <w:t>July:</w:t>
            </w:r>
          </w:p>
          <w:p>
            <w:pPr>
              <w:pStyle w:val="Normal"/>
              <w:spacing w:before="0" w:after="0"/>
              <w:rPr>
                <w:sz w:val="16"/>
              </w:rPr>
            </w:pPr>
            <w:r>
              <w:rPr>
                <w:sz w:val="16"/>
              </w:rPr>
              <w:t>August:</w:t>
            </w:r>
          </w:p>
          <w:p>
            <w:pPr>
              <w:pStyle w:val="Normal"/>
              <w:spacing w:before="0" w:after="0"/>
              <w:rPr>
                <w:sz w:val="16"/>
              </w:rPr>
            </w:pPr>
            <w:r>
              <w:rPr>
                <w:sz w:val="16"/>
              </w:rPr>
              <w:t>September:</w:t>
            </w:r>
          </w:p>
          <w:p>
            <w:pPr>
              <w:pStyle w:val="Normal"/>
              <w:spacing w:before="0" w:after="0"/>
              <w:rPr>
                <w:sz w:val="16"/>
              </w:rPr>
            </w:pPr>
            <w:r>
              <w:rPr>
                <w:sz w:val="16"/>
              </w:rPr>
              <w:t>October:</w:t>
            </w:r>
          </w:p>
          <w:p>
            <w:pPr>
              <w:pStyle w:val="Normal"/>
              <w:spacing w:before="0" w:after="0"/>
              <w:rPr>
                <w:sz w:val="16"/>
              </w:rPr>
            </w:pPr>
            <w:r>
              <w:rPr>
                <w:sz w:val="16"/>
              </w:rPr>
              <w:t>November:</w:t>
            </w:r>
          </w:p>
          <w:p>
            <w:pPr>
              <w:pStyle w:val="Normal"/>
              <w:spacing w:before="0" w:after="0"/>
              <w:rPr>
                <w:sz w:val="16"/>
              </w:rPr>
            </w:pPr>
            <w:r>
              <w:rPr>
                <w:sz w:val="16"/>
              </w:rPr>
              <w:t>December:</w:t>
            </w:r>
          </w:p>
          <w:p>
            <w:pPr>
              <w:pStyle w:val="Normal"/>
              <w:spacing w:before="0" w:after="0"/>
              <w:rPr>
                <w:sz w:val="16"/>
              </w:rPr>
            </w:pPr>
            <w:r>
              <w:rPr>
                <w:sz w:val="16"/>
              </w:rPr>
            </w:r>
          </w:p>
        </w:tc>
      </w:tr>
      <w:tr>
        <w:trPr/>
        <w:tc>
          <w:tcPr>
            <w:tcW w:w="2610" w:type="dxa"/>
            <w:tcBorders/>
          </w:tcPr>
          <w:p>
            <w:pPr>
              <w:pStyle w:val="Normal"/>
              <w:snapToGrid w:val="false"/>
              <w:spacing w:before="0" w:after="0"/>
              <w:rPr>
                <w:sz w:val="16"/>
              </w:rPr>
            </w:pPr>
            <w:r>
              <w:rPr>
                <w:sz w:val="16"/>
              </w:rPr>
            </w:r>
          </w:p>
        </w:tc>
        <w:tc>
          <w:tcPr>
            <w:tcW w:w="1950" w:type="dxa"/>
            <w:tcBorders/>
          </w:tcPr>
          <w:p>
            <w:pPr>
              <w:pStyle w:val="Normal"/>
              <w:snapToGrid w:val="false"/>
              <w:spacing w:before="0" w:after="0"/>
              <w:rPr/>
            </w:pPr>
            <w:r>
              <w:rPr/>
            </w:r>
          </w:p>
        </w:tc>
        <w:tc>
          <w:tcPr>
            <w:tcW w:w="1950" w:type="dxa"/>
            <w:tcBorders/>
          </w:tcPr>
          <w:p>
            <w:pPr>
              <w:pStyle w:val="Normal"/>
              <w:snapToGrid w:val="false"/>
              <w:spacing w:before="0" w:after="0"/>
              <w:rPr/>
            </w:pPr>
            <w:r>
              <w:rPr/>
            </w:r>
          </w:p>
        </w:tc>
        <w:tc>
          <w:tcPr>
            <w:tcW w:w="1950" w:type="dxa"/>
            <w:tcBorders/>
          </w:tcPr>
          <w:p>
            <w:pPr>
              <w:pStyle w:val="Normal"/>
              <w:snapToGrid w:val="false"/>
              <w:spacing w:before="0" w:after="0"/>
              <w:rPr/>
            </w:pPr>
            <w:r>
              <w:rPr/>
            </w:r>
          </w:p>
        </w:tc>
        <w:tc>
          <w:tcPr>
            <w:tcW w:w="1710" w:type="dxa"/>
            <w:tcBorders/>
          </w:tcPr>
          <w:p>
            <w:pPr>
              <w:pStyle w:val="Normal"/>
              <w:snapToGrid w:val="false"/>
              <w:spacing w:before="0" w:after="0"/>
              <w:rPr/>
            </w:pPr>
            <w:r>
              <w:rPr/>
            </w:r>
          </w:p>
        </w:tc>
        <w:tc>
          <w:tcPr>
            <w:tcW w:w="1845" w:type="dxa"/>
            <w:tcBorders/>
          </w:tcPr>
          <w:p>
            <w:pPr>
              <w:pStyle w:val="Normal"/>
              <w:spacing w:before="0" w:after="0"/>
              <w:rPr>
                <w:sz w:val="16"/>
              </w:rPr>
            </w:pPr>
            <w:r>
              <w:rPr>
                <w:sz w:val="16"/>
              </w:rPr>
              <w:t>January:</w:t>
            </w:r>
          </w:p>
          <w:p>
            <w:pPr>
              <w:pStyle w:val="Normal"/>
              <w:spacing w:before="0" w:after="0"/>
              <w:rPr>
                <w:sz w:val="16"/>
              </w:rPr>
            </w:pPr>
            <w:r>
              <w:rPr>
                <w:sz w:val="16"/>
              </w:rPr>
              <w:t>February:</w:t>
            </w:r>
          </w:p>
          <w:p>
            <w:pPr>
              <w:pStyle w:val="Normal"/>
              <w:spacing w:before="0" w:after="0"/>
              <w:rPr>
                <w:sz w:val="16"/>
              </w:rPr>
            </w:pPr>
            <w:r>
              <w:rPr>
                <w:sz w:val="16"/>
              </w:rPr>
              <w:t>March:</w:t>
            </w:r>
          </w:p>
          <w:p>
            <w:pPr>
              <w:pStyle w:val="Normal"/>
              <w:spacing w:before="0" w:after="0"/>
              <w:rPr>
                <w:sz w:val="16"/>
              </w:rPr>
            </w:pPr>
            <w:r>
              <w:rPr>
                <w:sz w:val="16"/>
              </w:rPr>
              <w:t>April:</w:t>
            </w:r>
          </w:p>
          <w:p>
            <w:pPr>
              <w:pStyle w:val="Normal"/>
              <w:spacing w:before="0" w:after="0"/>
              <w:rPr>
                <w:sz w:val="16"/>
              </w:rPr>
            </w:pPr>
            <w:r>
              <w:rPr>
                <w:sz w:val="16"/>
              </w:rPr>
              <w:t>May:</w:t>
            </w:r>
          </w:p>
          <w:p>
            <w:pPr>
              <w:pStyle w:val="Normal"/>
              <w:spacing w:before="0" w:after="0"/>
              <w:rPr>
                <w:sz w:val="16"/>
              </w:rPr>
            </w:pPr>
            <w:r>
              <w:rPr>
                <w:sz w:val="16"/>
              </w:rPr>
              <w:t>June:</w:t>
            </w:r>
          </w:p>
        </w:tc>
        <w:tc>
          <w:tcPr>
            <w:tcW w:w="1845" w:type="dxa"/>
            <w:tcBorders/>
          </w:tcPr>
          <w:p>
            <w:pPr>
              <w:pStyle w:val="Normal"/>
              <w:spacing w:before="0" w:after="0"/>
              <w:rPr>
                <w:sz w:val="16"/>
              </w:rPr>
            </w:pPr>
            <w:r>
              <w:rPr>
                <w:sz w:val="16"/>
              </w:rPr>
              <w:t>July:</w:t>
            </w:r>
          </w:p>
          <w:p>
            <w:pPr>
              <w:pStyle w:val="Normal"/>
              <w:spacing w:before="0" w:after="0"/>
              <w:rPr>
                <w:sz w:val="16"/>
              </w:rPr>
            </w:pPr>
            <w:r>
              <w:rPr>
                <w:sz w:val="16"/>
              </w:rPr>
              <w:t>August:</w:t>
            </w:r>
          </w:p>
          <w:p>
            <w:pPr>
              <w:pStyle w:val="Normal"/>
              <w:spacing w:before="0" w:after="0"/>
              <w:rPr>
                <w:sz w:val="16"/>
              </w:rPr>
            </w:pPr>
            <w:r>
              <w:rPr>
                <w:sz w:val="16"/>
              </w:rPr>
              <w:t>September:</w:t>
            </w:r>
          </w:p>
          <w:p>
            <w:pPr>
              <w:pStyle w:val="Normal"/>
              <w:spacing w:before="0" w:after="0"/>
              <w:rPr>
                <w:sz w:val="16"/>
              </w:rPr>
            </w:pPr>
            <w:r>
              <w:rPr>
                <w:sz w:val="16"/>
              </w:rPr>
              <w:t>October:</w:t>
            </w:r>
          </w:p>
          <w:p>
            <w:pPr>
              <w:pStyle w:val="Normal"/>
              <w:spacing w:before="0" w:after="0"/>
              <w:rPr>
                <w:sz w:val="16"/>
              </w:rPr>
            </w:pPr>
            <w:r>
              <w:rPr>
                <w:sz w:val="16"/>
              </w:rPr>
              <w:t>November:</w:t>
            </w:r>
          </w:p>
          <w:p>
            <w:pPr>
              <w:pStyle w:val="Normal"/>
              <w:spacing w:before="0" w:after="0"/>
              <w:rPr>
                <w:sz w:val="16"/>
              </w:rPr>
            </w:pPr>
            <w:r>
              <w:rPr>
                <w:sz w:val="16"/>
              </w:rPr>
              <w:t>December:</w:t>
            </w:r>
          </w:p>
          <w:p>
            <w:pPr>
              <w:pStyle w:val="Normal"/>
              <w:spacing w:before="0" w:after="0"/>
              <w:rPr>
                <w:sz w:val="16"/>
              </w:rPr>
            </w:pPr>
            <w:r>
              <w:rPr>
                <w:sz w:val="16"/>
              </w:rPr>
            </w:r>
          </w:p>
        </w:tc>
      </w:tr>
      <w:tr>
        <w:trPr/>
        <w:tc>
          <w:tcPr>
            <w:tcW w:w="2610" w:type="dxa"/>
            <w:tcBorders>
              <w:bottom w:val="single" w:sz="12" w:space="0" w:color="008000"/>
            </w:tcBorders>
          </w:tcPr>
          <w:p>
            <w:pPr>
              <w:pStyle w:val="Normal"/>
              <w:snapToGrid w:val="false"/>
              <w:spacing w:before="0" w:after="0"/>
              <w:rPr>
                <w:sz w:val="16"/>
              </w:rPr>
            </w:pPr>
            <w:r>
              <w:rPr>
                <w:sz w:val="16"/>
              </w:rPr>
            </w:r>
          </w:p>
        </w:tc>
        <w:tc>
          <w:tcPr>
            <w:tcW w:w="1950" w:type="dxa"/>
            <w:tcBorders>
              <w:bottom w:val="single" w:sz="12" w:space="0" w:color="008000"/>
            </w:tcBorders>
          </w:tcPr>
          <w:p>
            <w:pPr>
              <w:pStyle w:val="Normal"/>
              <w:snapToGrid w:val="false"/>
              <w:spacing w:before="0" w:after="0"/>
              <w:rPr/>
            </w:pPr>
            <w:r>
              <w:rPr/>
            </w:r>
          </w:p>
        </w:tc>
        <w:tc>
          <w:tcPr>
            <w:tcW w:w="1950" w:type="dxa"/>
            <w:tcBorders>
              <w:bottom w:val="single" w:sz="12" w:space="0" w:color="008000"/>
            </w:tcBorders>
          </w:tcPr>
          <w:p>
            <w:pPr>
              <w:pStyle w:val="Normal"/>
              <w:snapToGrid w:val="false"/>
              <w:spacing w:before="0" w:after="0"/>
              <w:rPr/>
            </w:pPr>
            <w:r>
              <w:rPr/>
            </w:r>
          </w:p>
        </w:tc>
        <w:tc>
          <w:tcPr>
            <w:tcW w:w="1950" w:type="dxa"/>
            <w:tcBorders>
              <w:bottom w:val="single" w:sz="12" w:space="0" w:color="008000"/>
            </w:tcBorders>
          </w:tcPr>
          <w:p>
            <w:pPr>
              <w:pStyle w:val="Normal"/>
              <w:snapToGrid w:val="false"/>
              <w:spacing w:before="0" w:after="0"/>
              <w:rPr/>
            </w:pPr>
            <w:r>
              <w:rPr/>
            </w:r>
          </w:p>
        </w:tc>
        <w:tc>
          <w:tcPr>
            <w:tcW w:w="1710" w:type="dxa"/>
            <w:tcBorders>
              <w:bottom w:val="single" w:sz="12" w:space="0" w:color="008000"/>
            </w:tcBorders>
          </w:tcPr>
          <w:p>
            <w:pPr>
              <w:pStyle w:val="Normal"/>
              <w:snapToGrid w:val="false"/>
              <w:spacing w:before="0" w:after="0"/>
              <w:rPr/>
            </w:pPr>
            <w:r>
              <w:rPr/>
            </w:r>
          </w:p>
        </w:tc>
        <w:tc>
          <w:tcPr>
            <w:tcW w:w="1845" w:type="dxa"/>
            <w:tcBorders>
              <w:bottom w:val="single" w:sz="12" w:space="0" w:color="008000"/>
            </w:tcBorders>
          </w:tcPr>
          <w:p>
            <w:pPr>
              <w:pStyle w:val="Normal"/>
              <w:spacing w:before="0" w:after="0"/>
              <w:rPr>
                <w:sz w:val="16"/>
              </w:rPr>
            </w:pPr>
            <w:r>
              <w:rPr>
                <w:sz w:val="16"/>
              </w:rPr>
              <w:t>January:</w:t>
            </w:r>
          </w:p>
          <w:p>
            <w:pPr>
              <w:pStyle w:val="Normal"/>
              <w:spacing w:before="0" w:after="0"/>
              <w:rPr>
                <w:sz w:val="16"/>
              </w:rPr>
            </w:pPr>
            <w:r>
              <w:rPr>
                <w:sz w:val="16"/>
              </w:rPr>
              <w:t>February:</w:t>
            </w:r>
          </w:p>
          <w:p>
            <w:pPr>
              <w:pStyle w:val="Normal"/>
              <w:spacing w:before="0" w:after="0"/>
              <w:rPr>
                <w:sz w:val="16"/>
              </w:rPr>
            </w:pPr>
            <w:r>
              <w:rPr>
                <w:sz w:val="16"/>
              </w:rPr>
              <w:t>March:</w:t>
            </w:r>
          </w:p>
          <w:p>
            <w:pPr>
              <w:pStyle w:val="Normal"/>
              <w:spacing w:before="0" w:after="0"/>
              <w:rPr>
                <w:sz w:val="16"/>
              </w:rPr>
            </w:pPr>
            <w:r>
              <w:rPr>
                <w:sz w:val="16"/>
              </w:rPr>
              <w:t>April:</w:t>
            </w:r>
          </w:p>
          <w:p>
            <w:pPr>
              <w:pStyle w:val="Normal"/>
              <w:spacing w:before="0" w:after="0"/>
              <w:rPr>
                <w:sz w:val="16"/>
              </w:rPr>
            </w:pPr>
            <w:r>
              <w:rPr>
                <w:sz w:val="16"/>
              </w:rPr>
              <w:t>May:</w:t>
            </w:r>
          </w:p>
          <w:p>
            <w:pPr>
              <w:pStyle w:val="Normal"/>
              <w:spacing w:before="0" w:after="0"/>
              <w:rPr>
                <w:sz w:val="16"/>
              </w:rPr>
            </w:pPr>
            <w:r>
              <w:rPr>
                <w:sz w:val="16"/>
              </w:rPr>
              <w:t>June:</w:t>
            </w:r>
          </w:p>
        </w:tc>
        <w:tc>
          <w:tcPr>
            <w:tcW w:w="1845" w:type="dxa"/>
            <w:tcBorders>
              <w:bottom w:val="single" w:sz="12" w:space="0" w:color="008000"/>
            </w:tcBorders>
          </w:tcPr>
          <w:p>
            <w:pPr>
              <w:pStyle w:val="Normal"/>
              <w:spacing w:before="0" w:after="0"/>
              <w:rPr>
                <w:sz w:val="16"/>
              </w:rPr>
            </w:pPr>
            <w:r>
              <w:rPr>
                <w:sz w:val="16"/>
              </w:rPr>
              <w:t>July:</w:t>
            </w:r>
          </w:p>
          <w:p>
            <w:pPr>
              <w:pStyle w:val="Normal"/>
              <w:spacing w:before="0" w:after="0"/>
              <w:rPr>
                <w:sz w:val="16"/>
              </w:rPr>
            </w:pPr>
            <w:r>
              <w:rPr>
                <w:sz w:val="16"/>
              </w:rPr>
              <w:t>August:</w:t>
            </w:r>
          </w:p>
          <w:p>
            <w:pPr>
              <w:pStyle w:val="Normal"/>
              <w:spacing w:before="0" w:after="0"/>
              <w:rPr>
                <w:sz w:val="16"/>
              </w:rPr>
            </w:pPr>
            <w:r>
              <w:rPr>
                <w:sz w:val="16"/>
              </w:rPr>
              <w:t>September:</w:t>
            </w:r>
          </w:p>
          <w:p>
            <w:pPr>
              <w:pStyle w:val="Normal"/>
              <w:spacing w:before="0" w:after="0"/>
              <w:rPr>
                <w:sz w:val="16"/>
              </w:rPr>
            </w:pPr>
            <w:r>
              <w:rPr>
                <w:sz w:val="16"/>
              </w:rPr>
              <w:t>October:</w:t>
            </w:r>
          </w:p>
          <w:p>
            <w:pPr>
              <w:pStyle w:val="Normal"/>
              <w:spacing w:before="0" w:after="0"/>
              <w:rPr>
                <w:sz w:val="16"/>
              </w:rPr>
            </w:pPr>
            <w:r>
              <w:rPr>
                <w:sz w:val="16"/>
              </w:rPr>
              <w:t>November:</w:t>
            </w:r>
          </w:p>
          <w:p>
            <w:pPr>
              <w:pStyle w:val="Normal"/>
              <w:spacing w:before="0" w:after="0"/>
              <w:rPr>
                <w:sz w:val="16"/>
              </w:rPr>
            </w:pPr>
            <w:r>
              <w:rPr>
                <w:sz w:val="16"/>
              </w:rPr>
              <w:t>December:</w:t>
            </w:r>
          </w:p>
          <w:p>
            <w:pPr>
              <w:pStyle w:val="Normal"/>
              <w:spacing w:before="0" w:after="0"/>
              <w:rPr>
                <w:sz w:val="16"/>
              </w:rPr>
            </w:pPr>
            <w:r>
              <w:rPr>
                <w:sz w:val="16"/>
              </w:rPr>
            </w:r>
          </w:p>
        </w:tc>
      </w:tr>
    </w:tbl>
    <w:p>
      <w:pPr>
        <w:pStyle w:val="Normal"/>
        <w:spacing w:before="0" w:after="0"/>
        <w:rPr/>
      </w:pPr>
      <w:r>
        <w:rPr/>
      </w:r>
    </w:p>
    <w:p>
      <w:pPr>
        <w:pStyle w:val="Normal"/>
        <w:spacing w:before="0" w:after="0"/>
        <w:rPr/>
      </w:pPr>
      <w:r>
        <w:rPr/>
        <w:t>The “</w:t>
      </w:r>
      <w:r>
        <w:rPr>
          <w:b/>
          <w:bCs/>
        </w:rPr>
        <w:t>Daily Normalized Volume</w:t>
      </w:r>
      <w:r>
        <w:rPr/>
        <w:t>” for each Day of each calendar month of each year during the Term for each Service Address shall be calculated by dividing the applicable Monthly Normalized Volume for such Day by the number of days in such calendar month.</w:t>
      </w:r>
    </w:p>
    <w:p>
      <w:pPr>
        <w:pStyle w:val="Normal"/>
        <w:spacing w:before="0" w:after="0"/>
        <w:rPr/>
      </w:pPr>
      <w:r>
        <w:rPr/>
      </w:r>
    </w:p>
    <w:p>
      <w:pPr>
        <w:sectPr>
          <w:footerReference w:type="default" r:id="rId3"/>
          <w:type w:val="oddPage"/>
          <w:pgSz w:orient="landscape" w:w="15840" w:h="12240"/>
          <w:pgMar w:left="1080" w:right="1080" w:gutter="0" w:header="0" w:top="1080" w:footer="288" w:bottom="1080"/>
          <w:pgNumType w:start="1" w:fmt="decimal"/>
          <w:formProt w:val="false"/>
          <w:textDirection w:val="lrTb"/>
          <w:docGrid w:type="default" w:linePitch="360" w:charSpace="0"/>
        </w:sectPr>
        <w:pStyle w:val="Normal"/>
        <w:spacing w:before="0" w:after="0"/>
        <w:rPr/>
      </w:pPr>
      <w:r>
        <w:rPr/>
        <w:t>As used herein, “</w:t>
      </w:r>
      <w:r>
        <w:rPr>
          <w:b/>
          <w:bCs/>
        </w:rPr>
        <w:t>Day</w:t>
      </w:r>
      <w:r>
        <w:rPr/>
        <w:t>” means a period of 24 consecutive hours, beginning at 8:00 a.m. Mountain Prevailing Time and ending at 8:00 a.m. Mountain Prevailing Time on the following calendar day.</w:t>
      </w:r>
    </w:p>
    <w:p>
      <w:pPr>
        <w:pStyle w:val="Normal"/>
        <w:spacing w:before="0" w:after="200"/>
        <w:jc w:val="end"/>
        <w:rPr>
          <w:b/>
          <w:u w:val="single"/>
          <w:lang w:val="en-CA" w:eastAsia="en-CA"/>
        </w:rPr>
      </w:pPr>
      <w:r>
        <w:rPr>
          <w:b/>
          <w:u w:val="single"/>
          <w:lang w:val="en-CA" w:eastAsia="en-CA"/>
        </w:rPr>
      </w:r>
      <w:r>
        <mc:AlternateContent>
          <mc:Choice Requires="wps">
            <w:drawing>
              <wp:anchor behindDoc="0" distT="0" distB="0" distL="114935" distR="114935" simplePos="0" locked="0" layoutInCell="1" allowOverlap="1" relativeHeight="5">
                <wp:simplePos x="0" y="0"/>
                <wp:positionH relativeFrom="column">
                  <wp:posOffset>4842510</wp:posOffset>
                </wp:positionH>
                <wp:positionV relativeFrom="paragraph">
                  <wp:posOffset>-235585</wp:posOffset>
                </wp:positionV>
                <wp:extent cx="1847850" cy="750570"/>
                <wp:effectExtent l="0" t="0" r="0" b="0"/>
                <wp:wrapNone/>
                <wp:docPr id="4" name="Frame4"/>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Version:______     Page 4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18.55pt;mso-position-vertical-relative:text;margin-left:381.3pt;mso-position-horizontal-relative:text">
                <v:textbox>
                  <w:txbxContent>
                    <w:p>
                      <w:pPr>
                        <w:pStyle w:val="Footer"/>
                        <w:tabs>
                          <w:tab w:val="clear" w:pos="4320"/>
                          <w:tab w:val="clear" w:pos="8640"/>
                        </w:tabs>
                        <w:spacing w:before="0" w:after="0"/>
                        <w:rPr/>
                      </w:pPr>
                      <w:r>
                        <w:rPr/>
                        <w:t>Version:______     Page 4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v:textbox>
                <w10:wrap type="none"/>
              </v:rect>
            </w:pict>
          </mc:Fallback>
        </mc:AlternateContent>
      </w:r>
    </w:p>
    <w:p>
      <w:pPr>
        <w:pStyle w:val="Normal"/>
        <w:spacing w:before="0" w:after="200"/>
        <w:jc w:val="end"/>
        <w:rPr>
          <w:b/>
          <w:u w:val="single"/>
        </w:rPr>
      </w:pPr>
      <w:r>
        <w:rPr>
          <w:b/>
          <w:u w:val="single"/>
        </w:rPr>
      </w:r>
    </w:p>
    <w:p>
      <w:pPr>
        <w:pStyle w:val="Normal"/>
        <w:spacing w:before="0" w:after="0"/>
        <w:jc w:val="center"/>
        <w:rPr>
          <w:b/>
          <w:u w:val="single"/>
        </w:rPr>
      </w:pPr>
      <w:r>
        <w:rPr>
          <w:b/>
          <w:u w:val="single"/>
        </w:rPr>
        <w:t>NOTICE AND APPOINTMENT OF AGENT</w:t>
      </w:r>
    </w:p>
    <w:p>
      <w:pPr>
        <w:pStyle w:val="BodyTextIndent"/>
        <w:rPr/>
      </w:pPr>
      <w:r>
        <w:rPr/>
        <w:t>TO:</w:t>
        <w:tab/>
        <w:t>The operator of the natural gas distribution system for each Service Address (as described below) (the "Distribution Company") and all other interested parties (each a "Notified Party")</w:t>
      </w:r>
    </w:p>
    <w:p>
      <w:pPr>
        <w:pStyle w:val="Normal"/>
        <w:rPr/>
      </w:pPr>
      <w:r>
        <w:rPr>
          <w:b/>
        </w:rPr>
        <w:t>Appointment</w:t>
      </w:r>
      <w:r>
        <w:rPr/>
        <w:t xml:space="preserve">:  The </w:t>
      </w:r>
      <w:r>
        <w:rPr>
          <w:b/>
        </w:rPr>
        <w:t>Customer</w:t>
      </w:r>
      <w:r>
        <w:rPr/>
        <w:t xml:space="preserve"> (as described below) confirms that it has entered into a contract for natural gas supply (the "</w:t>
      </w:r>
      <w:r>
        <w:rPr>
          <w:b/>
        </w:rPr>
        <w:t>Contract</w:t>
      </w:r>
      <w:r>
        <w:rPr/>
        <w:t>") with Enron Direct Limited Partnership ("</w:t>
      </w:r>
      <w:r>
        <w:rPr>
          <w:b/>
        </w:rPr>
        <w:t>Enron Direct</w:t>
      </w:r>
      <w:r>
        <w:rPr/>
        <w:t xml:space="preserve">") through its general partner, Enron Direct Canada Corp.  In order to facilitate the Contract, the Customer gives notice to you and hereby appoints Enron Direct as its sole agent for all purposes related to the delivery of natural gas to each </w:t>
      </w:r>
      <w:r>
        <w:rPr>
          <w:b/>
        </w:rPr>
        <w:t>Service Address</w:t>
      </w:r>
      <w:r>
        <w:rPr/>
        <w:t xml:space="preserve"> (as described in Schedule "A" attached hereto) including, but not limited to, the arranging for delivery of, the entering and terminating of contracts for the delivery of, and the invoicing for natural gas, if applicable, to each Service Address and for all matters relating to the Customer's direct supply arrangements including, without limiting the generality of the foregoing, to negotiate, establish, enter, document, implement, operate, perform, terminate and amend all matters relating to the Customer's direct supply arrangements on behalf of the Customer.</w:t>
      </w:r>
    </w:p>
    <w:p>
      <w:pPr>
        <w:pStyle w:val="Normal"/>
        <w:rPr/>
      </w:pPr>
      <w:r>
        <w:rPr>
          <w:b/>
        </w:rPr>
        <w:t>Enrollment</w:t>
      </w:r>
      <w:r>
        <w:rPr/>
        <w:t>:  The Customer authorizes and directs Enron Direct to enroll the Customer with the Distribution Company.  The Customer approves the switch from its current natural gas supplier to Enron Direct.</w:t>
      </w:r>
    </w:p>
    <w:p>
      <w:pPr>
        <w:pStyle w:val="Normal"/>
        <w:rPr/>
      </w:pPr>
      <w:r>
        <w:rPr>
          <w:b/>
        </w:rPr>
        <w:t>Direction</w:t>
      </w:r>
      <w:r>
        <w:rPr/>
        <w:t>:  The Customer hereby requests, authorizes and directs each Notified Party to release any and all information in such Notified Party's possession and control relating to the Customer and the supply and delivery of natural gas to each Service Address including, but not limited to, customer usage information, site usage history report for the past twelve (12) months, credit and payment history, consumption history, utility account number and account information (the "</w:t>
      </w:r>
      <w:r>
        <w:rPr>
          <w:b/>
        </w:rPr>
        <w:t>Information</w:t>
      </w:r>
      <w:r>
        <w:rPr/>
        <w:t>") to Enron Direct and acknowledges that such release may be subject to a fee in accordance with any terms and conditions of the Notified Party.</w:t>
      </w:r>
    </w:p>
    <w:p>
      <w:pPr>
        <w:pStyle w:val="Normal"/>
        <w:rPr/>
      </w:pPr>
      <w:r>
        <w:rPr>
          <w:b/>
        </w:rPr>
        <w:t>Distribution Company Terms</w:t>
      </w:r>
      <w:r>
        <w:rPr/>
        <w:t>:  The Customer confirms that Enron Direct has notified the Customer that the Customer may be bound by the terms, conditions and policies established by the Distribution Company for each Service Address and further confirms that the Customer will comply with such terms, conditions and policies.</w:t>
      </w:r>
    </w:p>
    <w:p>
      <w:pPr>
        <w:pStyle w:val="Normal"/>
        <w:rPr/>
      </w:pPr>
      <w:r>
        <w:rPr>
          <w:b/>
        </w:rPr>
        <w:t>Reliance</w:t>
      </w:r>
      <w:r>
        <w:rPr/>
        <w:t>:  Each Notified Party may deal exclusively with and rely on Enron Direct to make all arrangements on the Customer’s behalf in connection with the supply and delivery of natural gas to each Service Address as if such arrangements had been made by the Customer.</w:t>
      </w:r>
    </w:p>
    <w:p>
      <w:pPr>
        <w:pStyle w:val="Normal"/>
        <w:rPr/>
      </w:pPr>
      <w:r>
        <w:rPr>
          <w:b/>
        </w:rPr>
        <w:t>Billing</w:t>
      </w:r>
      <w:r>
        <w:rPr/>
        <w:t xml:space="preserve">:  Enron Direct will bill the Customer directly for the natural gas delivered to each Service Address and for certain distribution access charges and any other fees, charges or taxes relating to the delivery of natural gas delivered to such Service Address.  The Customer understands that all other charges, fees and taxes will continue to be provided and billed by the Distribution Company. </w:t>
      </w:r>
    </w:p>
    <w:p>
      <w:pPr>
        <w:pStyle w:val="Normal"/>
        <w:rPr/>
      </w:pPr>
      <w:r>
        <w:rPr>
          <w:b/>
        </w:rPr>
        <w:t>Effective Date</w:t>
      </w:r>
      <w:r>
        <w:rPr/>
        <w:t>: The appointments and directions are effective as of the date of this Notice and Appointment of Agent.</w:t>
      </w:r>
    </w:p>
    <w:p>
      <w:pPr>
        <w:pStyle w:val="Normal"/>
        <w:rPr/>
      </w:pPr>
      <w:r>
        <w:rPr>
          <w:b/>
        </w:rPr>
        <w:t>Responsibility</w:t>
      </w:r>
      <w:r>
        <w:rPr/>
        <w:t>:  The Customer confirms that it has the authority to enter into an agreement for the supply of natural gas to each Service Address and to appoint an agent for the delivery thereof to such Service Address.  The Customer agrees to keep the payment of its natural gas account with the Distribution Company up-to-date, to pay such accounts when due and to be bound by and responsible for the arrangements made by Enron Direct as agent on its behalf.  The Customer has read the Contract and this Notice and Appointment of Agent and understands and agrees to be bound by the terms thereof.</w:t>
      </w:r>
    </w:p>
    <w:p>
      <w:pPr>
        <w:pStyle w:val="Normal"/>
        <w:pBdr>
          <w:top w:val="single" w:sz="4" w:space="1" w:color="000000"/>
          <w:left w:val="single" w:sz="4" w:space="4" w:color="000000"/>
          <w:bottom w:val="single" w:sz="4" w:space="1" w:color="000000"/>
          <w:right w:val="single" w:sz="4" w:space="4" w:color="000000"/>
        </w:pBdr>
        <w:spacing w:before="0" w:after="200"/>
        <w:rPr/>
      </w:pPr>
      <w:r>
        <w:rPr/>
        <w:t xml:space="preserve">Customer (full legal name): </w:t>
      </w:r>
      <w:r>
        <w:rPr>
          <w:u w:val="single"/>
        </w:rPr>
        <w:tab/>
        <w:tab/>
        <w:tab/>
        <w:tab/>
        <w:tab/>
        <w:tab/>
        <w:tab/>
        <w:tab/>
        <w:tab/>
        <w:tab/>
      </w:r>
    </w:p>
    <w:p>
      <w:pPr>
        <w:pStyle w:val="Normal"/>
        <w:pBdr>
          <w:top w:val="single" w:sz="4" w:space="1" w:color="000000"/>
          <w:left w:val="single" w:sz="4" w:space="4" w:color="000000"/>
          <w:bottom w:val="single" w:sz="4" w:space="1" w:color="000000"/>
          <w:right w:val="single" w:sz="4" w:space="4" w:color="000000"/>
        </w:pBdr>
        <w:spacing w:before="0" w:after="200"/>
        <w:rPr>
          <w:u w:val="single"/>
        </w:rPr>
      </w:pPr>
      <w:r>
        <w:rPr/>
        <w:t>Name (exactly as it appears on your natural gas bill):  See "Customer Name on Bill" as described in Schedule "A" hereto.</w:t>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3690" w:leader="none"/>
          <w:tab w:val="left" w:pos="4230" w:leader="none"/>
          <w:tab w:val="left" w:pos="5400" w:leader="none"/>
          <w:tab w:val="left" w:pos="6210" w:leader="none"/>
          <w:tab w:val="left" w:pos="7470" w:leader="none"/>
        </w:tabs>
        <w:spacing w:before="0" w:after="200"/>
        <w:rPr/>
      </w:pPr>
      <w:r>
        <w:rPr/>
        <w:t>Service Address:  See "Service Address" as described in Schedule "A" hereto.</w:t>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3690" w:leader="none"/>
          <w:tab w:val="left" w:pos="4230" w:leader="none"/>
          <w:tab w:val="left" w:pos="5400" w:leader="none"/>
          <w:tab w:val="left" w:pos="6210" w:leader="none"/>
          <w:tab w:val="left" w:pos="7470" w:leader="none"/>
        </w:tabs>
        <w:spacing w:before="0" w:after="200"/>
        <w:rPr/>
      </w:pPr>
      <w:r>
        <w:rPr/>
        <w:t xml:space="preserve">Name of Service Address (as it appears on your existing natural gas bill, if applicable):  See "Location Name" as described in Schedule "A" hereto. </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090" w:leader="none"/>
        </w:tabs>
        <w:rPr>
          <w:u w:val="single"/>
        </w:rPr>
      </w:pPr>
      <w:r>
        <w:rPr/>
        <w:t>Existing Utility Account Number/Service I.D.:  See "Account Number" as described in Schedule "A" hereto.</w:t>
      </w:r>
    </w:p>
    <w:p>
      <w:pPr>
        <w:sectPr>
          <w:footerReference w:type="default" r:id="rId4"/>
          <w:footerReference w:type="first" r:id="rId5"/>
          <w:type w:val="nextPage"/>
          <w:pgSz w:w="12240" w:h="15840"/>
          <w:pgMar w:left="720" w:right="720" w:gutter="0" w:header="0" w:top="1080" w:footer="288" w:bottom="720"/>
          <w:pgNumType w:start="1" w:fmt="decimal"/>
          <w:formProt w:val="false"/>
          <w:textDirection w:val="lrTb"/>
          <w:docGrid w:type="default" w:linePitch="360" w:charSpace="0"/>
        </w:sectPr>
        <w:pStyle w:val="Normal"/>
        <w:pBdr>
          <w:top w:val="single" w:sz="4" w:space="1" w:color="000000"/>
          <w:left w:val="single" w:sz="4" w:space="4" w:color="000000"/>
          <w:bottom w:val="single" w:sz="4" w:space="1" w:color="000000"/>
          <w:right w:val="single" w:sz="4" w:space="4" w:color="000000"/>
        </w:pBdr>
        <w:spacing w:before="0" w:after="200"/>
        <w:rPr/>
      </w:pPr>
      <w:r>
        <w:rPr/>
        <w:t>Date:</w:t>
        <w:tab/>
      </w:r>
      <w:r>
        <w:rPr>
          <w:u w:val="single"/>
        </w:rPr>
        <w:t xml:space="preserve">         /              /            </w:t>
      </w:r>
      <w:r>
        <w:rPr/>
        <w:t xml:space="preserve"> </w:t>
        <w:tab/>
        <w:tab/>
        <w:t xml:space="preserve">Signature:  </w:t>
      </w:r>
      <w:r>
        <w:rPr>
          <w:u w:val="single"/>
        </w:rPr>
        <w:tab/>
        <w:tab/>
        <w:tab/>
        <w:tab/>
        <w:br/>
      </w:r>
      <w:r>
        <w:rPr/>
        <w:tab/>
        <w:t>year /  month  / day</w:t>
        <w:tab/>
        <w:tab/>
        <w:t>Title:</w:t>
        <w:tab/>
        <w:t xml:space="preserve">    </w:t>
      </w:r>
      <w:r>
        <w:rPr>
          <w:u w:val="single"/>
        </w:rPr>
        <w:tab/>
        <w:tab/>
        <w:tab/>
        <w:tab/>
      </w:r>
    </w:p>
    <w:p>
      <w:pPr>
        <w:pStyle w:val="Heading1"/>
        <w:numPr>
          <w:ilvl w:val="0"/>
          <w:numId w:val="0"/>
        </w:numPr>
        <w:spacing w:before="0" w:after="0"/>
        <w:ind w:hanging="0" w:start="0"/>
        <w:jc w:val="center"/>
        <w:rPr>
          <w:b/>
          <w:sz w:val="16"/>
          <w:u w:val="single"/>
        </w:rPr>
      </w:pPr>
      <w:r>
        <w:rPr>
          <w:b/>
          <w:sz w:val="16"/>
          <w:u w:val="single"/>
        </w:rPr>
      </w:r>
    </w:p>
    <w:p>
      <w:pPr>
        <w:pStyle w:val="Heading1"/>
        <w:numPr>
          <w:ilvl w:val="0"/>
          <w:numId w:val="0"/>
        </w:numPr>
        <w:spacing w:before="0" w:after="0"/>
        <w:ind w:hanging="0" w:start="0"/>
        <w:jc w:val="center"/>
        <w:rPr>
          <w:b/>
          <w:sz w:val="16"/>
          <w:u w:val="single"/>
        </w:rPr>
      </w:pPr>
      <w:r>
        <w:rPr>
          <w:b/>
          <w:sz w:val="16"/>
          <w:u w:val="single"/>
        </w:rPr>
      </w:r>
    </w:p>
    <w:p>
      <w:pPr>
        <w:pStyle w:val="Heading1"/>
        <w:numPr>
          <w:ilvl w:val="0"/>
          <w:numId w:val="0"/>
        </w:numPr>
        <w:spacing w:before="0" w:after="0"/>
        <w:ind w:hanging="0" w:start="0"/>
        <w:jc w:val="center"/>
        <w:rPr>
          <w:b/>
          <w:sz w:val="16"/>
          <w:u w:val="single"/>
          <w:lang w:val="en-CA" w:eastAsia="en-CA"/>
        </w:rPr>
      </w:pPr>
      <w:r>
        <w:rPr>
          <w:b/>
          <w:sz w:val="16"/>
          <w:u w:val="single"/>
          <w:lang w:val="en-CA" w:eastAsia="en-CA"/>
        </w:rPr>
      </w:r>
      <w:r>
        <mc:AlternateContent>
          <mc:Choice Requires="wps">
            <w:drawing>
              <wp:anchor behindDoc="0" distT="0" distB="0" distL="114935" distR="114935" simplePos="0" locked="0" layoutInCell="1" allowOverlap="1" relativeHeight="6">
                <wp:simplePos x="0" y="0"/>
                <wp:positionH relativeFrom="column">
                  <wp:posOffset>5345430</wp:posOffset>
                </wp:positionH>
                <wp:positionV relativeFrom="paragraph">
                  <wp:posOffset>56515</wp:posOffset>
                </wp:positionV>
                <wp:extent cx="1847850" cy="750570"/>
                <wp:effectExtent l="0" t="0" r="0" b="0"/>
                <wp:wrapNone/>
                <wp:docPr id="5" name="Frame5"/>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Version:______     Page 5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4.45pt;mso-position-vertical-relative:text;margin-left:420.9pt;mso-position-horizontal-relative:text">
                <v:textbox>
                  <w:txbxContent>
                    <w:p>
                      <w:pPr>
                        <w:pStyle w:val="Footer"/>
                        <w:tabs>
                          <w:tab w:val="clear" w:pos="4320"/>
                          <w:tab w:val="clear" w:pos="8640"/>
                        </w:tabs>
                        <w:spacing w:before="0" w:after="0"/>
                        <w:rPr/>
                      </w:pPr>
                      <w:r>
                        <w:rPr/>
                        <w:t>Version:______     Page 5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v:textbox>
                <w10:wrap type="none"/>
              </v:rect>
            </w:pict>
          </mc:Fallback>
        </mc:AlternateContent>
      </w:r>
    </w:p>
    <w:p>
      <w:pPr>
        <w:pStyle w:val="Heading1"/>
        <w:numPr>
          <w:ilvl w:val="0"/>
          <w:numId w:val="0"/>
        </w:numPr>
        <w:spacing w:before="0" w:after="0"/>
        <w:ind w:hanging="0" w:start="0"/>
        <w:jc w:val="center"/>
        <w:rPr>
          <w:b/>
          <w:sz w:val="16"/>
          <w:u w:val="single"/>
        </w:rPr>
      </w:pPr>
      <w:r>
        <w:rPr>
          <w:b/>
          <w:sz w:val="16"/>
          <w:u w:val="single"/>
        </w:rPr>
      </w:r>
    </w:p>
    <w:p>
      <w:pPr>
        <w:pStyle w:val="Heading1"/>
        <w:numPr>
          <w:ilvl w:val="0"/>
          <w:numId w:val="0"/>
        </w:numPr>
        <w:spacing w:before="0" w:after="0"/>
        <w:ind w:hanging="0" w:start="0"/>
        <w:jc w:val="center"/>
        <w:rPr>
          <w:b/>
          <w:sz w:val="16"/>
          <w:u w:val="single"/>
        </w:rPr>
      </w:pPr>
      <w:r>
        <w:rPr>
          <w:b/>
          <w:sz w:val="16"/>
          <w:u w:val="single"/>
        </w:rPr>
      </w:r>
    </w:p>
    <w:p>
      <w:pPr>
        <w:pStyle w:val="Normal"/>
        <w:jc w:val="end"/>
        <w:rPr>
          <w:b/>
          <w:sz w:val="16"/>
          <w:u w:val="single"/>
        </w:rPr>
      </w:pPr>
      <w:r>
        <w:rPr>
          <w:b/>
          <w:sz w:val="16"/>
          <w:u w:val="single"/>
        </w:rPr>
      </w:r>
    </w:p>
    <w:p>
      <w:pPr>
        <w:pStyle w:val="Heading1"/>
        <w:numPr>
          <w:ilvl w:val="0"/>
          <w:numId w:val="0"/>
        </w:numPr>
        <w:spacing w:before="0" w:after="0"/>
        <w:ind w:hanging="0" w:start="0"/>
        <w:jc w:val="center"/>
        <w:rPr>
          <w:b/>
          <w:sz w:val="16"/>
          <w:u w:val="single"/>
        </w:rPr>
      </w:pPr>
      <w:r>
        <w:rPr>
          <w:b/>
          <w:sz w:val="16"/>
          <w:u w:val="single"/>
        </w:rPr>
        <w:t>TERMS AND CONDITIONS</w:t>
      </w:r>
    </w:p>
    <w:p>
      <w:pPr>
        <w:pStyle w:val="Normal"/>
        <w:rPr>
          <w:b/>
          <w:sz w:val="14"/>
          <w:u w:val="single"/>
        </w:rPr>
      </w:pPr>
      <w:r>
        <w:rPr>
          <w:b/>
          <w:sz w:val="14"/>
          <w:u w:val="single"/>
        </w:rPr>
      </w:r>
    </w:p>
    <w:p>
      <w:pPr>
        <w:sectPr>
          <w:footerReference w:type="default" r:id="rId6"/>
          <w:footerReference w:type="first" r:id="rId7"/>
          <w:type w:val="nextPage"/>
          <w:pgSz w:w="12240" w:h="15840"/>
          <w:pgMar w:left="288" w:right="288" w:gutter="0" w:header="0" w:top="432" w:footer="288" w:bottom="720"/>
          <w:pgNumType w:start="1" w:fmt="decimal"/>
          <w:formProt w:val="false"/>
          <w:textDirection w:val="lrTb"/>
          <w:docGrid w:type="default" w:linePitch="360" w:charSpace="0"/>
        </w:sectPr>
      </w:pPr>
    </w:p>
    <w:p>
      <w:pPr>
        <w:pStyle w:val="Normal"/>
        <w:spacing w:before="0" w:after="120"/>
        <w:rPr/>
      </w:pPr>
      <w:r>
        <w:rPr>
          <w:sz w:val="14"/>
        </w:rPr>
        <w:t>These Terms and Conditions (the "</w:t>
      </w:r>
      <w:r>
        <w:rPr>
          <w:b/>
          <w:sz w:val="14"/>
        </w:rPr>
        <w:t>Terms and Conditions</w:t>
      </w:r>
      <w:r>
        <w:rPr>
          <w:sz w:val="14"/>
        </w:rPr>
        <w:t>") shall be read together with the Application and the Notice and Appointment of Agent to form a separate contract between the Customer and Enron Direct with respect to each Service Address described in the Application (the "</w:t>
      </w:r>
      <w:r>
        <w:rPr>
          <w:b/>
          <w:sz w:val="14"/>
        </w:rPr>
        <w:t>Contract</w:t>
      </w:r>
      <w:r>
        <w:rPr>
          <w:sz w:val="14"/>
        </w:rPr>
        <w:t xml:space="preserve">").  All capitalized terms used and which are not defined herein shall have the meanings given to them in the Application.  As used in the Contract, headings and section references are for convenience only and shall not be used or relied upon for interpreting the Contract. </w:t>
      </w:r>
    </w:p>
    <w:p>
      <w:pPr>
        <w:pStyle w:val="List"/>
        <w:numPr>
          <w:ilvl w:val="0"/>
          <w:numId w:val="4"/>
        </w:numPr>
        <w:spacing w:before="0" w:after="120"/>
        <w:ind w:hanging="0" w:start="0"/>
        <w:rPr/>
      </w:pPr>
      <w:r>
        <w:rPr>
          <w:b/>
        </w:rPr>
        <w:t>Confirmation:</w:t>
      </w:r>
      <w:r>
        <w:rPr/>
        <w:t xml:space="preserve">  The Customer confirms that all information contained in the Application, the Notice and Appointment of Agent and any schedules or exhibits attached thereto relating to the Customer is correct.  The Customer agrees to immediately notify Enron Direct of any changes to such information and indemnify Enron Direct for any additional liability, loss, claims, damages, costs, expenses or fees it incurs as a result of any breach of this Section 1, any change in such information or any delay in notifying Enron Direct of such change.</w:t>
      </w:r>
    </w:p>
    <w:p>
      <w:pPr>
        <w:pStyle w:val="List"/>
        <w:numPr>
          <w:ilvl w:val="0"/>
          <w:numId w:val="4"/>
        </w:numPr>
        <w:spacing w:before="0" w:after="120"/>
        <w:ind w:hanging="0" w:start="0"/>
        <w:rPr/>
      </w:pPr>
      <w:bookmarkStart w:id="0" w:name="_Ref506283482"/>
      <w:r>
        <w:rPr>
          <w:b/>
        </w:rPr>
        <w:t>Start Date:</w:t>
      </w:r>
      <w:r>
        <w:rPr/>
        <w:t xml:space="preserve">  Enron Direct will begin supplying natural gas to the Service Address, under the terms of the Contract, on the date specified by the operator of the natural gas distribution system for the Service Address, or any successor thereto from time to time (the “</w:t>
      </w:r>
      <w:r>
        <w:rPr>
          <w:b/>
          <w:bCs/>
        </w:rPr>
        <w:t>Distribution Company</w:t>
      </w:r>
      <w:r>
        <w:rPr/>
        <w:t>”) once the Distribution Company accepts the enrollment of the Customer by Enron Direct and following the lapse of any notice periods applicable to the termination of the Customer's current natural gas supplier (the "</w:t>
      </w:r>
      <w:r>
        <w:rPr>
          <w:b/>
        </w:rPr>
        <w:t>Start Date</w:t>
      </w:r>
      <w:r>
        <w:rPr/>
        <w:t xml:space="preserve">").  It is currently intended that the Start Date be as close to </w:t>
      </w:r>
      <w:r>
        <w:rPr>
          <w:b/>
          <w:bCs/>
        </w:rPr>
        <w:t>[</w:t>
      </w:r>
      <w:r>
        <w:rPr>
          <w:rFonts w:eastAsia="Symbol" w:cs="Symbol" w:ascii="Symbol" w:hAnsi="Symbol"/>
          <w:b/>
          <w:bCs/>
        </w:rPr>
        <w:sym w:font="Symbol" w:char="f0b7"/>
      </w:r>
      <w:r>
        <w:rPr>
          <w:b/>
          <w:bCs/>
        </w:rPr>
        <w:t>]</w:t>
      </w:r>
      <w:r>
        <w:rPr/>
        <w:t xml:space="preserve"> as reasonably practicable; provided however, the Start Date shall not be earlier than </w:t>
      </w:r>
      <w:r>
        <w:rPr>
          <w:b/>
          <w:bCs/>
        </w:rPr>
        <w:t>[</w:t>
      </w:r>
      <w:r>
        <w:rPr>
          <w:rFonts w:eastAsia="Symbol" w:cs="Symbol" w:ascii="Symbol" w:hAnsi="Symbol"/>
          <w:b/>
          <w:bCs/>
        </w:rPr>
        <w:sym w:font="Symbol" w:char="f0b7"/>
      </w:r>
      <w:r>
        <w:rPr>
          <w:b/>
          <w:bCs/>
        </w:rPr>
        <w:t>]</w:t>
      </w:r>
      <w:r>
        <w:rPr/>
        <w:t xml:space="preserve">.  Subject to these Terms and Conditions, Enron Direct will supply natural gas to the Service Address throughout the </w:t>
      </w:r>
      <w:r>
        <w:rPr>
          <w:b/>
        </w:rPr>
        <w:t>Term</w:t>
      </w:r>
      <w:r>
        <w:rPr/>
        <w:t xml:space="preserve"> (as defined below).</w:t>
      </w:r>
      <w:bookmarkEnd w:id="0"/>
    </w:p>
    <w:p>
      <w:pPr>
        <w:pStyle w:val="List"/>
        <w:numPr>
          <w:ilvl w:val="0"/>
          <w:numId w:val="4"/>
        </w:numPr>
        <w:spacing w:before="0" w:after="120"/>
        <w:ind w:hanging="0" w:start="0"/>
        <w:rPr/>
      </w:pPr>
      <w:bookmarkStart w:id="1" w:name="_Ref512738405"/>
      <w:r>
        <w:rPr>
          <w:b/>
        </w:rPr>
        <w:t>Conditions to Supply:</w:t>
      </w:r>
      <w:r>
        <w:rPr/>
        <w:t xml:space="preserve">  Enron Direct is under no obligation to provide any services or continue to supply natural gas under the Contract unless, at all times during the Term:</w:t>
      </w:r>
      <w:bookmarkEnd w:id="1"/>
    </w:p>
    <w:p>
      <w:pPr>
        <w:pStyle w:val="Style41"/>
        <w:numPr>
          <w:ilvl w:val="2"/>
          <w:numId w:val="6"/>
        </w:numPr>
        <w:spacing w:before="0" w:after="120"/>
        <w:ind w:hanging="0" w:start="0"/>
        <w:rPr/>
      </w:pPr>
      <w:r>
        <w:rPr/>
        <w:t>the supply of natural gas or the provision of services by Enron Direct and the facilities at the Service Address comply with the requirements of, and do not cause Enron Direct to be in breach of, Enron Direct's licence to supply natural gas or any applicable law, bylaw, statute, regulation, rule, ordinance, policy, order, code, information letter, guideline, bulletin or directive;</w:t>
      </w:r>
    </w:p>
    <w:p>
      <w:pPr>
        <w:pStyle w:val="Style41"/>
        <w:numPr>
          <w:ilvl w:val="2"/>
          <w:numId w:val="6"/>
        </w:numPr>
        <w:spacing w:before="0" w:after="120"/>
        <w:ind w:hanging="0" w:start="0"/>
        <w:rPr/>
      </w:pPr>
      <w:r>
        <w:rPr/>
        <w:t xml:space="preserve">the Customer is a party to, and complies with its obligations under, the </w:t>
      </w:r>
      <w:r>
        <w:rPr>
          <w:b/>
          <w:bCs/>
        </w:rPr>
        <w:t>Customer Terms and Directives</w:t>
      </w:r>
      <w:r>
        <w:rPr/>
        <w:t xml:space="preserve"> (as defined below);</w:t>
      </w:r>
    </w:p>
    <w:p>
      <w:pPr>
        <w:pStyle w:val="Style41"/>
        <w:numPr>
          <w:ilvl w:val="2"/>
          <w:numId w:val="6"/>
        </w:numPr>
        <w:spacing w:before="0" w:after="120"/>
        <w:ind w:hanging="0" w:start="0"/>
        <w:rPr/>
      </w:pPr>
      <w:r>
        <w:rPr/>
        <w:t>appropriate metering and related equipment ("</w:t>
      </w:r>
      <w:r>
        <w:rPr>
          <w:b/>
        </w:rPr>
        <w:t>Metering</w:t>
      </w:r>
      <w:r>
        <w:rPr/>
        <w:t xml:space="preserve">") which in each case complies with the </w:t>
      </w:r>
      <w:r>
        <w:rPr>
          <w:b/>
        </w:rPr>
        <w:t>Industry Terms and Directives</w:t>
      </w:r>
      <w:r>
        <w:rPr/>
        <w:t xml:space="preserve"> (as defined below) and all applicable laws and regulations is in place for the supply of natural gas and accredited operators, meter administrators, meter data collectors and data aggregators have been appointed in connection with the Metering and each such person is complying with its obligations under the Industry Terms and Directives to which it is a party and the Customer is complying with its obligations under its agreement with any such person; and</w:t>
      </w:r>
    </w:p>
    <w:p>
      <w:pPr>
        <w:pStyle w:val="Style41"/>
        <w:numPr>
          <w:ilvl w:val="2"/>
          <w:numId w:val="6"/>
        </w:numPr>
        <w:spacing w:before="0" w:after="120"/>
        <w:ind w:hanging="0" w:start="0"/>
        <w:rPr/>
      </w:pPr>
      <w:r>
        <w:rPr/>
        <w:t>the Customer has all permits, licences, approvals or other instruments necessary for the receipt of natural gas at the Service Address.</w:t>
      </w:r>
    </w:p>
    <w:p>
      <w:pPr>
        <w:pStyle w:val="List"/>
        <w:numPr>
          <w:ilvl w:val="0"/>
          <w:numId w:val="4"/>
        </w:numPr>
        <w:spacing w:before="0" w:after="120"/>
        <w:ind w:hanging="0" w:start="0"/>
        <w:rPr/>
      </w:pPr>
      <w:r>
        <w:rPr>
          <w:b/>
        </w:rPr>
        <w:t>Term:</w:t>
      </w:r>
      <w:r>
        <w:rPr/>
        <w:t xml:space="preserve">  Subject to the termination rights contained in the Contract, the term of the Contract shall commence at 8:00 a.m. Mountain Prevailing Time on the Start Date and shall continue until 8:00 a.m. Mountain Prevailing Time on </w:t>
      </w:r>
      <w:r>
        <w:rPr>
          <w:b/>
          <w:bCs/>
        </w:rPr>
        <w:t>[</w:t>
      </w:r>
      <w:r>
        <w:rPr>
          <w:rFonts w:eastAsia="Symbol" w:cs="Symbol" w:ascii="Symbol" w:hAnsi="Symbol"/>
          <w:b/>
          <w:bCs/>
        </w:rPr>
        <w:sym w:font="Symbol" w:char="f0b7"/>
      </w:r>
      <w:r>
        <w:rPr>
          <w:b/>
          <w:bCs/>
        </w:rPr>
        <w:t>]</w:t>
      </w:r>
      <w:r>
        <w:rPr/>
        <w:t xml:space="preserve"> </w:t>
      </w:r>
      <w:r>
        <w:rPr>
          <w:b/>
          <w:bCs/>
        </w:rPr>
        <w:t xml:space="preserve">[Note to Draft:  Insert  the end date (should be the first day of a calendar month)] </w:t>
      </w:r>
      <w:r>
        <w:rPr/>
        <w:t>(the "</w:t>
      </w:r>
      <w:r>
        <w:rPr>
          <w:b/>
        </w:rPr>
        <w:t>Term</w:t>
      </w:r>
      <w:r>
        <w:rPr/>
        <w:t>").  The Contract may not be renewed after the expiry of the Term.</w:t>
      </w:r>
    </w:p>
    <w:p>
      <w:pPr>
        <w:pStyle w:val="List"/>
        <w:numPr>
          <w:ilvl w:val="0"/>
          <w:numId w:val="4"/>
        </w:numPr>
        <w:spacing w:before="0" w:after="120"/>
        <w:ind w:hanging="0" w:start="0"/>
        <w:rPr/>
      </w:pPr>
      <w:r>
        <w:rPr>
          <w:b/>
        </w:rPr>
        <w:t xml:space="preserve">Supply Interruptible:  </w:t>
      </w:r>
      <w:r>
        <w:rPr/>
        <w:t xml:space="preserve">The Customer acknowledges that the natural gas supplied under the Contract may be interrupted as a result of the operation of Sections </w:t>
      </w:r>
      <w:r>
        <w:rPr/>
        <w:fldChar w:fldCharType="begin"/>
      </w:r>
      <w:r>
        <w:rPr/>
        <w:instrText xml:space="preserve"> REF _Ref512738405 \r \r \h </w:instrText>
      </w:r>
      <w:r>
        <w:rPr/>
        <w:fldChar w:fldCharType="separate"/>
      </w:r>
      <w:r>
        <w:rPr/>
        <w:t>3</w:t>
      </w:r>
      <w:r>
        <w:rPr/>
        <w:fldChar w:fldCharType="end"/>
      </w:r>
      <w:r>
        <w:rPr/>
        <w:t xml:space="preserve">, </w:t>
      </w:r>
      <w:r>
        <w:rPr/>
        <w:fldChar w:fldCharType="begin"/>
      </w:r>
      <w:r>
        <w:rPr/>
        <w:instrText xml:space="preserve"> REF _Ref506283500 \r \r \h </w:instrText>
      </w:r>
      <w:r>
        <w:rPr/>
        <w:fldChar w:fldCharType="separate"/>
      </w:r>
      <w:r>
        <w:rPr/>
        <w:t>18</w:t>
      </w:r>
      <w:r>
        <w:rPr/>
        <w:fldChar w:fldCharType="end"/>
      </w:r>
      <w:r>
        <w:rPr/>
        <w:t xml:space="preserve"> or </w:t>
      </w:r>
      <w:r>
        <w:rPr/>
        <w:fldChar w:fldCharType="begin"/>
      </w:r>
      <w:r>
        <w:rPr/>
        <w:instrText xml:space="preserve"> REF _Ref512738412 \r \r \h </w:instrText>
      </w:r>
      <w:r>
        <w:rPr/>
        <w:fldChar w:fldCharType="separate"/>
      </w:r>
      <w:r>
        <w:rPr/>
        <w:t>23</w:t>
      </w:r>
      <w:r>
        <w:rPr/>
        <w:fldChar w:fldCharType="end"/>
      </w:r>
      <w:r>
        <w:rPr/>
        <w:t xml:space="preserve"> and, if the Customer needs a guaranteed supply of natural gas which is uninterrupted, unreduced or unimpaired on a continuous basis, emergency or stand-by capability, it will need to be contracted for by the Customer (and will not be supplied by Enron Direct under the Contract).</w:t>
      </w:r>
    </w:p>
    <w:p>
      <w:pPr>
        <w:pStyle w:val="List"/>
        <w:numPr>
          <w:ilvl w:val="0"/>
          <w:numId w:val="4"/>
        </w:numPr>
        <w:spacing w:before="0" w:after="120"/>
        <w:ind w:hanging="0" w:start="0"/>
        <w:rPr/>
      </w:pPr>
      <w:r>
        <w:rPr>
          <w:b/>
        </w:rPr>
        <w:t>Variations in Supply:</w:t>
      </w:r>
      <w:r>
        <w:rPr/>
        <w:t xml:space="preserve">  The natural gas supplied under the Contract will be delivered by and through the facilities of the Distribution Company.  As such, Enron Direct does not guarantee that such natural gas will be free from variations in quality or pressure which are attributable to the operations or failure of the Distribution Company's system or any other transmission system.</w:t>
      </w:r>
    </w:p>
    <w:p>
      <w:pPr>
        <w:pStyle w:val="List"/>
        <w:numPr>
          <w:ilvl w:val="0"/>
          <w:numId w:val="4"/>
        </w:numPr>
        <w:spacing w:before="0" w:after="120"/>
        <w:ind w:hanging="0" w:start="0"/>
        <w:rPr/>
      </w:pPr>
      <w:r>
        <w:rPr>
          <w:b/>
        </w:rPr>
        <w:t xml:space="preserve">Limited Appointment:  </w:t>
      </w:r>
      <w:r>
        <w:rPr/>
        <w:t>In order to facilitate the supply of natural gas to the Service Address, the Customer appoints Enron Direct as its sole agent (the "</w:t>
      </w:r>
      <w:r>
        <w:rPr>
          <w:b/>
        </w:rPr>
        <w:t>Agent</w:t>
      </w:r>
      <w:r>
        <w:rPr/>
        <w:t>") for all purposes relating to the delivery of natural gas at the Service Address.  Enron Direct's appointment as the Agent commences as of the date the Customer makes the Application and terminates on the 20</w:t>
      </w:r>
      <w:r>
        <w:rPr>
          <w:vertAlign w:val="superscript"/>
        </w:rPr>
        <w:t>th</w:t>
      </w:r>
      <w:r>
        <w:rPr/>
        <w:t xml:space="preserve"> "</w:t>
      </w:r>
      <w:r>
        <w:rPr>
          <w:b/>
        </w:rPr>
        <w:t>Business Day</w:t>
      </w:r>
      <w:r>
        <w:rPr/>
        <w:t>" (a day other than a Saturday, Sunday or statutory holiday in Alberta) thereafter, unless Enron Direct accepts the Application.  If Enron Direct accepts the Application, Enron Direct's appointment as the Agent shall continue until the 10</w:t>
      </w:r>
      <w:r>
        <w:rPr>
          <w:vertAlign w:val="superscript"/>
        </w:rPr>
        <w:t>th</w:t>
      </w:r>
      <w:r>
        <w:rPr/>
        <w:t xml:space="preserve"> Business Day following the last day of the Term.  Enron Direct's appointment as the Agent includes all power and authority (in its sole discretion) regarding all matters relating to the Customer’s direct supply arrangements and, without limiting the generality of the foregoing, the power and authority to negotiate, enter, establish, document, implement, operate, perform, terminate and amend all matters and agreements relating to the delivery of natural gas to the Service Address.   </w:t>
      </w:r>
    </w:p>
    <w:p>
      <w:pPr>
        <w:pStyle w:val="List"/>
        <w:numPr>
          <w:ilvl w:val="0"/>
          <w:numId w:val="4"/>
        </w:numPr>
        <w:spacing w:before="0" w:after="120"/>
        <w:ind w:hanging="0" w:start="0"/>
        <w:rPr/>
      </w:pPr>
      <w:r>
        <w:rPr>
          <w:b/>
        </w:rPr>
        <w:t xml:space="preserve">Scope of Agency: </w:t>
      </w:r>
      <w:r>
        <w:rPr/>
        <w:t xml:space="preserve">The Customer acknowledges that Enron Direct is not an agent or fiduciary of the Customer with respect to the purchase and sale of natural gas (except as specifically contemplated in Section </w:t>
      </w:r>
      <w:r>
        <w:rPr/>
        <w:fldChar w:fldCharType="begin"/>
      </w:r>
      <w:r>
        <w:rPr/>
        <w:instrText xml:space="preserve"> REF _Ref512738437 \r \r \h </w:instrText>
      </w:r>
      <w:r>
        <w:rPr/>
        <w:fldChar w:fldCharType="separate"/>
      </w:r>
      <w:r>
        <w:rPr/>
        <w:t>12</w:t>
      </w:r>
      <w:r>
        <w:rPr/>
        <w:fldChar w:fldCharType="end"/>
      </w:r>
      <w:r>
        <w:rPr/>
        <w:t>) or the price of such natural gas to be supplied under the Contract to the Service Address.  At the time the Contract is entered into, the Customer may be able to acquire natural gas from other natural gas suppliers at a lower price than the price fixed in the Contract.  Further, Enron Direct may profit from the sale of natural gas to the Customer under the Contract by acquiring natural gas at a lower price than the Customer has agreed to pay under the Contract.  Enron Direct will not, and is under no obligation to, pass on any such profit to the Customer.</w:t>
      </w:r>
    </w:p>
    <w:p>
      <w:pPr>
        <w:pStyle w:val="List"/>
        <w:numPr>
          <w:ilvl w:val="0"/>
          <w:numId w:val="4"/>
        </w:numPr>
        <w:spacing w:before="0" w:after="120"/>
        <w:ind w:hanging="0" w:start="0"/>
        <w:rPr/>
      </w:pPr>
      <w:bookmarkStart w:id="2" w:name="_Ref506283729"/>
      <w:r>
        <w:rPr>
          <w:b/>
        </w:rPr>
        <w:t xml:space="preserve">Customer Representations:  </w:t>
      </w:r>
      <w:r>
        <w:rPr/>
        <w:t xml:space="preserve">The Customer confirms that: (a) it is not, and will not be, bound by an agreement with any other natural gas supplier for the supply of natural gas to the Service Address during the Term, it has not and will not modify, revoke, rescind or cancel Enron Directs appointment as Agent nor appoint any other party in such capacity during the Term  and, subject to the terms and conditions of the Contract, during the Term Enron Direct shall be the sole "gas marketer" (as defined in the </w:t>
      </w:r>
      <w:r>
        <w:rPr>
          <w:i/>
        </w:rPr>
        <w:t xml:space="preserve">Natural Gas Direct Marketing Regulation </w:t>
      </w:r>
      <w:r>
        <w:rPr>
          <w:iCs/>
        </w:rPr>
        <w:t>(Alberta),</w:t>
      </w:r>
      <w:r>
        <w:rPr>
          <w:i/>
        </w:rPr>
        <w:t xml:space="preserve"> </w:t>
      </w:r>
      <w:r>
        <w:rPr>
          <w:iCs/>
        </w:rPr>
        <w:t>as amended, restated, replaced or re-enacted from time to time</w:t>
      </w:r>
      <w:r>
        <w:rPr/>
        <w:t xml:space="preserve"> (the "</w:t>
      </w:r>
      <w:r>
        <w:rPr>
          <w:b/>
        </w:rPr>
        <w:t>Regulations</w:t>
      </w:r>
      <w:r>
        <w:rPr/>
        <w:t>")) with respect to the supply of natural gas to the Customer in respect of the Service Address from time to time;  (b) it has good and sufficient power and the authority to enter into the Contract and perform its obligations under the Contract; (c) the Contract has been duly authorized, executed and delivered by it; (d) it is the person responsible for the purchase of natural gas for the Service Address; (e) it is in compliance with and will comply with its obligations under the Customer Terms and Directives; (f) it has and will have in effect all required connection agreements with the Distribution Company at all times during the Term; and (g) it will notify the Distribution Company of the termination of the Contract immediately upon such termination.</w:t>
      </w:r>
      <w:bookmarkEnd w:id="2"/>
      <w:r>
        <w:rPr/>
        <w:t xml:space="preserve">  </w:t>
      </w:r>
    </w:p>
    <w:p>
      <w:pPr>
        <w:pStyle w:val="List"/>
        <w:numPr>
          <w:ilvl w:val="0"/>
          <w:numId w:val="4"/>
        </w:numPr>
        <w:spacing w:before="0" w:after="120"/>
        <w:ind w:hanging="0" w:start="0"/>
        <w:rPr/>
      </w:pPr>
      <w:bookmarkStart w:id="3" w:name="_Ref506283737"/>
      <w:r>
        <w:rPr>
          <w:b/>
        </w:rPr>
        <w:t xml:space="preserve">Liquidated Damages:  </w:t>
      </w:r>
      <w:r>
        <w:rPr/>
        <w:t xml:space="preserve">If Enron Direct terminates the Contract in accordance with Section </w:t>
      </w:r>
      <w:r>
        <w:rPr/>
        <w:fldChar w:fldCharType="begin"/>
      </w:r>
      <w:r>
        <w:rPr/>
        <w:instrText xml:space="preserve"> REF _Ref506283654 \r \r \h </w:instrText>
      </w:r>
      <w:r>
        <w:rPr/>
        <w:fldChar w:fldCharType="separate"/>
      </w:r>
      <w:r>
        <w:rPr/>
        <w:t>26</w:t>
      </w:r>
      <w:r>
        <w:rPr/>
        <w:fldChar w:fldCharType="end"/>
      </w:r>
      <w:r>
        <w:rPr/>
        <w:t xml:space="preserve"> hereof or the Contract is terminated or deemed to be terminated pursuant to any ruling, order, directive or pronouncement made under any bankruptcy, insolvency, creditor protection or similar law (regardless of the jurisdiction of application or competence of such law) (each, an "</w:t>
      </w:r>
      <w:r>
        <w:rPr>
          <w:b/>
        </w:rPr>
        <w:t>Insolvency Law</w:t>
      </w:r>
      <w:r>
        <w:rPr/>
        <w:t>") affecting the Customer or a guarantor of the Customer, if applicable, then Enron Direct shall calculate damages (the "</w:t>
      </w:r>
      <w:r>
        <w:rPr>
          <w:b/>
        </w:rPr>
        <w:t>Early Termination Damages</w:t>
      </w:r>
      <w:r>
        <w:rPr/>
        <w:t>") equal to the sum of:</w:t>
      </w:r>
      <w:bookmarkEnd w:id="3"/>
    </w:p>
    <w:p>
      <w:pPr>
        <w:pStyle w:val="Style41"/>
        <w:numPr>
          <w:ilvl w:val="0"/>
          <w:numId w:val="0"/>
        </w:numPr>
        <w:spacing w:before="0" w:after="120"/>
        <w:ind w:hanging="360" w:start="360" w:end="0"/>
        <w:rPr/>
      </w:pPr>
      <w:r>
        <w:rPr/>
        <w:t>(a)</w:t>
        <w:tab/>
        <w:t xml:space="preserve">the present value (using a discount rate equal to the </w:t>
      </w:r>
      <w:r>
        <w:rPr>
          <w:b/>
        </w:rPr>
        <w:t>Prime Rate</w:t>
      </w:r>
      <w:r>
        <w:rPr/>
        <w:t xml:space="preserve"> (as defined below)) of an amount equal to the number of GJs of natural gas estimated, by Enron Direct, acting reasonably, to be delivered to the Service Address from the effective date of the termination until the date the Term would have expired had the Contract not been so terminated (the "</w:t>
      </w:r>
      <w:r>
        <w:rPr>
          <w:b/>
        </w:rPr>
        <w:t>Termination Period</w:t>
      </w:r>
      <w:r>
        <w:rPr/>
        <w:t>") multiplied by the positive difference per GJ obtained when subtracting the market price for such natural gas determined by Enron Direct, acting reasonably, from the Standard Commodity Price; plus</w:t>
      </w:r>
    </w:p>
    <w:p>
      <w:pPr>
        <w:pStyle w:val="BodyText"/>
        <w:spacing w:before="0" w:after="120"/>
        <w:ind w:hanging="360" w:start="360" w:end="0"/>
        <w:rPr>
          <w:sz w:val="14"/>
        </w:rPr>
      </w:pPr>
      <w:r>
        <w:rPr>
          <w:sz w:val="14"/>
        </w:rPr>
        <w:t>(b)</w:t>
        <w:tab/>
        <w:t xml:space="preserve">the product of $0.15 per GJ multiplied by the quantity of natural gas estimated to be delivered during the Termination Period; plus </w:t>
      </w:r>
    </w:p>
    <w:p>
      <w:pPr>
        <w:pStyle w:val="BodyText"/>
        <w:spacing w:before="0" w:after="120"/>
        <w:ind w:hanging="360" w:start="360" w:end="0"/>
        <w:rPr>
          <w:sz w:val="14"/>
        </w:rPr>
      </w:pPr>
      <w:r>
        <w:rPr>
          <w:sz w:val="14"/>
        </w:rPr>
        <w:t>(c)</w:t>
        <w:tab/>
        <w:t>all pipeline penalties incurred by Enron Direct as a result of the termination;</w:t>
      </w:r>
    </w:p>
    <w:p>
      <w:pPr>
        <w:pStyle w:val="Style41"/>
        <w:numPr>
          <w:ilvl w:val="2"/>
          <w:numId w:val="7"/>
        </w:numPr>
        <w:rPr/>
      </w:pPr>
      <w:r>
        <w:rPr/>
        <w:t>all applicable Taxes; plus</w:t>
      </w:r>
    </w:p>
    <w:p>
      <w:pPr>
        <w:pStyle w:val="Style41"/>
        <w:numPr>
          <w:ilvl w:val="2"/>
          <w:numId w:val="6"/>
        </w:numPr>
        <w:ind w:hanging="0" w:start="0"/>
        <w:rPr/>
      </w:pPr>
      <w:r>
        <w:rPr/>
        <w:t>Enron Direct’s associated costs and legal expenses (reasonably estimated if necessary) related to determining the Early Termination Damages and the enforcement of Enron Direct’s rights and remedies in respect thereof and for the collection thereof.</w:t>
      </w:r>
    </w:p>
    <w:p>
      <w:pPr>
        <w:pStyle w:val="BodyText"/>
        <w:spacing w:before="0" w:after="120"/>
        <w:rPr/>
      </w:pPr>
      <w:r>
        <w:rPr>
          <w:sz w:val="14"/>
        </w:rPr>
        <w:t>The Early Termination Damages, if any, will be payable by the Customer to Enron Direct within 10 days of the last day of the month in which the termination notice is given or the Contract is terminated or deemed to be terminated under any Insolvency Law (the "</w:t>
      </w:r>
      <w:r>
        <w:rPr>
          <w:b/>
          <w:sz w:val="14"/>
        </w:rPr>
        <w:t>Termination Month</w:t>
      </w:r>
      <w:r>
        <w:rPr>
          <w:sz w:val="14"/>
        </w:rPr>
        <w:t xml:space="preserve">").  The calculation of any Early Termination Damages shall be performed by Enron Direct based upon the average monthly natural gas consumption at the Service Address over the 12 months preceding the Termination Month, or such other shorter period for which consumption information is available, and shall be final and binding.  The Customer agrees that the Early Termination Damages are a genuine, </w:t>
      </w:r>
      <w:r>
        <w:rPr>
          <w:i/>
          <w:sz w:val="14"/>
        </w:rPr>
        <w:t>bona fide</w:t>
      </w:r>
      <w:r>
        <w:rPr>
          <w:sz w:val="14"/>
        </w:rPr>
        <w:t xml:space="preserve"> and reasonable pre-estimate, as of the date of the Contract, of the losses, costs and expenses which Enron Direct would suffer as a result of the termination of the Contract.  The Early Termination Damages constitute liquidated damages and shall not, under any circumstances, be construed as a penalty.  The Early Termination Damages are in addition to any other amounts owed or owing under the Contract.  Notwithstanding the foregoing, no Early Termination Damages will be payable by the Customer in the event that the Contract is terminated pursuant to Section </w:t>
      </w:r>
      <w:r>
        <w:rPr>
          <w:sz w:val="14"/>
        </w:rPr>
        <w:fldChar w:fldCharType="begin"/>
      </w:r>
      <w:r>
        <w:rPr>
          <w:sz w:val="14"/>
        </w:rPr>
        <w:instrText xml:space="preserve"> REF _Ref506283654 \r \r \h </w:instrText>
      </w:r>
      <w:r>
        <w:rPr>
          <w:sz w:val="14"/>
        </w:rPr>
        <w:fldChar w:fldCharType="separate"/>
      </w:r>
      <w:r>
        <w:rPr>
          <w:sz w:val="14"/>
        </w:rPr>
        <w:t>26</w:t>
      </w:r>
      <w:r>
        <w:rPr>
          <w:sz w:val="14"/>
        </w:rPr>
        <w:fldChar w:fldCharType="end"/>
      </w:r>
      <w:r>
        <w:rPr>
          <w:sz w:val="14"/>
        </w:rPr>
        <w:t xml:space="preserve">(c). </w:t>
      </w:r>
    </w:p>
    <w:p>
      <w:pPr>
        <w:pStyle w:val="List"/>
        <w:numPr>
          <w:ilvl w:val="0"/>
          <w:numId w:val="4"/>
        </w:numPr>
        <w:spacing w:before="0" w:after="120"/>
        <w:ind w:hanging="0" w:start="0"/>
        <w:rPr/>
      </w:pPr>
      <w:bookmarkStart w:id="4" w:name="_Ref512738472"/>
      <w:r>
        <w:rPr>
          <w:b/>
        </w:rPr>
        <w:t>Determination of Quantities:</w:t>
      </w:r>
      <w:r>
        <w:rPr/>
        <w:t xml:space="preserve">  All metering services, if any, shall be performed by the Distribution Company.  The Customer shall allow any representative of the Distribution Company reasonable access to the Service Address to install, remove, inspect, check, replace or repair any metering equipment and to otherwise carry out its lawful duties.  If the Customer reasonably believes the metering equipment is registering inaccurately, it may request that Enron Direct contact the Distribution Company to test of the metering equipment.  Enron Direct shall communicate all such reasonable requests to the Distribution Company and the Customer shall, without restriction to any other obligation under the Contract, be responsible for any fees charged by the Distribution Company for verifying the accuracy of any meter.  The Customer acknowledges that: (a) if the Distribution Company determines that the meter is not </w:t>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pPr>
      <w:bookmarkStart w:id="5" w:name="_Ref512738472"/>
      <w:r>
        <w:rPr/>
        <w:t>reading accurately, the Distribution Company may recalibrate the meter and may recalculate and adjust any past invoices in accordance with the Industry Terms and Directives; (b) the Distribution Company is responsible for determining the amount of natural gas delivered to the Service Address and may do so by periodic measurement, estimation, allocation or as it may otherwise determine in its discretion and Enron Direct shall be entitled to charge the Customer accordingly; (c) Enron Direct shall invoice the Customer, and the Customer shall be obligated to pay, based upon the best available information from the Distribution Company at the time of invoicing, including but not limited to, estimates and allocations, in which case subsequent invoices shall be adjusted and rendered, if necessary, to account for finalized information when available; and (d) the Distribution Company’s determination as to the amount of natural gas delivered to the Service Address shall be conclusive and binding as between the Customer and Enron Direct.  The Customer further acknowledges that, in the event that the Distribution Company fails to determine (whether by periodic measurement, estimation, allocation or some other method as determined by the Distribution Company in its discretion) the amount of natural gas delivered to the Service Address at any time, Enron Direct shall be entitled to estimate such volume of natural gas and charge the Customer accordingly.</w:t>
      </w:r>
      <w:bookmarkEnd w:id="5"/>
    </w:p>
    <w:p>
      <w:pPr>
        <w:pStyle w:val="List"/>
        <w:numPr>
          <w:ilvl w:val="0"/>
          <w:numId w:val="4"/>
        </w:numPr>
        <w:spacing w:before="0" w:after="120"/>
        <w:ind w:hanging="0" w:start="0"/>
        <w:rPr/>
      </w:pPr>
      <w:bookmarkStart w:id="6" w:name="_Ref512738437"/>
      <w:r>
        <w:rPr>
          <w:b/>
        </w:rPr>
        <w:t>Excess or Unused Volumes:</w:t>
      </w:r>
      <w:r>
        <w:rPr/>
        <w:t xml:space="preserve">  The Customer acknowledges and agrees that: (a) the Standard Commodity Price is based on, and applies to, the Daily Normalized Volumes; but (b) the actual volume of natural gas delivered to the Service Address may vary from such Daily Normalized Volumes; and accordingly (c) Enron Direct may from time to time be required to deliver to the Customer on any Day actual natural gas volumes either in excess of the Daily Normalized Volumes (such excess, being the "</w:t>
      </w:r>
      <w:r>
        <w:rPr>
          <w:b/>
        </w:rPr>
        <w:t>Excess Volume</w:t>
      </w:r>
      <w:r>
        <w:rPr/>
        <w:t>") or less than the Daily Normalized Volumes (the result obtained by subtracting the actual volume delivered from the corresponding Daily Normalized Volume being the "</w:t>
      </w:r>
      <w:r>
        <w:rPr>
          <w:b/>
        </w:rPr>
        <w:t>Unused Volume</w:t>
      </w:r>
      <w:r>
        <w:rPr/>
        <w:t xml:space="preserve">"); and (d) Enron Direct will, as a result of any Excess Volume or any Unused Volume, have volume management and balancing obligations with the Distribution Company; and therefore (e) Enron Direct is authorized, from time to time, to purchase (in the case of any Excess Volume) or sell (in the case of any Unused Volume) natural gas equivalent to the Excess Volume or the Unused Volume, as applicable, on the Customer's behalf and for the Customer's account, and at the then prevailing </w:t>
      </w:r>
      <w:r>
        <w:rPr>
          <w:b/>
        </w:rPr>
        <w:t>AECO "C" Daily Index</w:t>
      </w:r>
      <w:r>
        <w:rPr/>
        <w:t xml:space="preserve"> (as defined below) or any alternative to the foregoing published by a third party which Enron Direct determines to be reflective of the market price for spot physical natural gas transactions for delivery at AECO "C" or NOVA Inventory Transfer (the "</w:t>
      </w:r>
      <w:r>
        <w:rPr>
          <w:b/>
        </w:rPr>
        <w:t>Alternate Daily Index</w:t>
      </w:r>
      <w:r>
        <w:rPr/>
        <w:t>") (each of the AECO C Daily Index and the Alternate Daily Index, as applicable, referred to herein as the "</w:t>
      </w:r>
      <w:r>
        <w:rPr>
          <w:b/>
        </w:rPr>
        <w:t>Daily Index</w:t>
      </w:r>
      <w:r>
        <w:rPr/>
        <w:t>"); and (f) Enron Direct shall, on the next ensuing invoice to the Customer, either (i) in the case of an Excess Volume, charge to the Customer the amount of the Excess Volume, multiplied by the Daily Index prevailing on the Day of purchase, plus all commodity and non-commodity gas transmission costs associated with the purchase of the Excess Volume (collectively, the "</w:t>
      </w:r>
      <w:r>
        <w:rPr>
          <w:b/>
        </w:rPr>
        <w:t>Excess Volume Amount</w:t>
      </w:r>
      <w:r>
        <w:rPr/>
        <w:t>"), or (ii) in the case of an Unused Volume, credit to the Customer the amount of the Unused Volume, multiplied by the Daily Index prevailing on the Day of the sale, less all commodity and non-commodity gas transmission costs associated with the sale of the Unused Volume (collectively, the "</w:t>
      </w:r>
      <w:r>
        <w:rPr>
          <w:b/>
        </w:rPr>
        <w:t>Unused Volume Amount</w:t>
      </w:r>
      <w:r>
        <w:rPr/>
        <w:t>").</w:t>
      </w:r>
      <w:bookmarkEnd w:id="6"/>
    </w:p>
    <w:p>
      <w:pPr>
        <w:pStyle w:val="List"/>
        <w:numPr>
          <w:ilvl w:val="0"/>
          <w:numId w:val="0"/>
        </w:numPr>
        <w:spacing w:before="0" w:after="120"/>
        <w:ind w:hanging="0" w:start="0"/>
        <w:rPr/>
      </w:pPr>
      <w:r>
        <w:rPr/>
        <w:t>The "</w:t>
      </w:r>
      <w:r>
        <w:rPr>
          <w:b/>
        </w:rPr>
        <w:t>AECO "C" Daily Index</w:t>
      </w:r>
      <w:r>
        <w:rPr/>
        <w:t xml:space="preserve">", for each Day shall be a price in Canadian dollars per GJ equal to the average price in Canadian dollars per GJ published on the "Canadian domestic gas price report" page, in the table "Daily Spot Gas Price at AECO C &amp; NOVA Inventory Transfer" reported for the applicable Day (excluding those prices on lines for which the Day is a Saturday, a Sunday or a statutory holiday that falls on a Monday or a Friday and substituting in place of each such Day the price on the line identified as "Weekend#" for the weekend occurring closest to such Day) in the first edition of the </w:t>
      </w:r>
      <w:r>
        <w:rPr>
          <w:i/>
          <w:u w:val="single"/>
        </w:rPr>
        <w:t>Canadian Gas Price Reporter</w:t>
      </w:r>
      <w:r>
        <w:rPr/>
        <w:t xml:space="preserve"> ("CGPR") published in the month immediately following the month in which such Day falls.  If such Day is a statutory holiday which falls on a Tuesday, Wednesday or Thursday, the AECO "C" Daily Index for such Day shall be the AECO "C" Daily Index for the previous business day.  It may be necessary to use the CGPR for the preceding month to locate the AECO "C" Daily Index for the closest business day or weekend.</w:t>
      </w:r>
    </w:p>
    <w:p>
      <w:pPr>
        <w:pStyle w:val="List"/>
        <w:numPr>
          <w:ilvl w:val="0"/>
          <w:numId w:val="0"/>
        </w:numPr>
        <w:spacing w:before="0" w:after="120"/>
        <w:ind w:hanging="0" w:start="0"/>
        <w:rPr/>
      </w:pPr>
      <w:r>
        <w:rPr/>
        <w:t>If Canadian Enerdata Ltd. ceases to publish the information required to determine the AECO "C" Daily Index or there is a material change in the formula for or the method of calculating the AECO "C" Daily Index, the AECO "C" Daily Index shall mean the price in Canadian dollars per GJ for the applicable Day published by an alternative source, as selected solely by Enron Direct, acting reasonably.</w:t>
      </w:r>
    </w:p>
    <w:p>
      <w:pPr>
        <w:pStyle w:val="List"/>
        <w:numPr>
          <w:ilvl w:val="0"/>
          <w:numId w:val="4"/>
        </w:numPr>
        <w:spacing w:before="0" w:after="120"/>
        <w:ind w:hanging="0" w:start="0"/>
        <w:rPr/>
      </w:pPr>
      <w:bookmarkStart w:id="7" w:name="_Ref512738478"/>
      <w:r>
        <w:rPr>
          <w:b/>
        </w:rPr>
        <w:t xml:space="preserve">Flow-Through Charges:  </w:t>
      </w:r>
      <w:r>
        <w:rPr>
          <w:bCs/>
        </w:rPr>
        <w:t>The Customer hereby acknowledges that, in addition to all other amounts referenced herein, t</w:t>
      </w:r>
      <w:r>
        <w:rPr/>
        <w:t>he Customer shall be responsible for and agrees to pay all charges, fees, assessments or allocations assessed by or through the Distribution Company against Enron Direct as the result of the delivery of natural gas to the Service Address, matters incidental thereto and any act or omission of the Customer or of Enron Direct taken or omitted at the request of or on behalf of the Customer</w:t>
      </w:r>
      <w:r>
        <w:rPr>
          <w:b/>
        </w:rPr>
        <w:t xml:space="preserve"> </w:t>
      </w:r>
      <w:r>
        <w:rPr/>
        <w:t>(the "</w:t>
      </w:r>
      <w:r>
        <w:rPr>
          <w:b/>
        </w:rPr>
        <w:t>Flow-Through Charges</w:t>
      </w:r>
      <w:r>
        <w:rPr/>
        <w:t>").</w:t>
      </w:r>
      <w:bookmarkEnd w:id="7"/>
    </w:p>
    <w:p>
      <w:pPr>
        <w:pStyle w:val="List"/>
        <w:numPr>
          <w:ilvl w:val="0"/>
          <w:numId w:val="4"/>
        </w:numPr>
        <w:spacing w:before="0" w:after="120"/>
        <w:ind w:hanging="0" w:start="0"/>
        <w:rPr/>
      </w:pPr>
      <w:bookmarkStart w:id="8" w:name="_Ref512738480"/>
      <w:r>
        <w:rPr>
          <w:b/>
        </w:rPr>
        <w:t>Unaccounted For Gas Costs:</w:t>
      </w:r>
      <w:r>
        <w:rPr/>
        <w:t xml:space="preserve">  The Customer hereby acknowledges that, in addition to all other amounts referenced herein, the Customer shall be responsible for and agrees to pay Enron Direct, each month an amount equal to the "unaccounted for gas" and "fuel gas" charge levied against Enron Direct by the Distribution Company with respect to gas to be supplied pursuant to the Contract (the "</w:t>
      </w:r>
      <w:r>
        <w:rPr>
          <w:b/>
        </w:rPr>
        <w:t>Unaccounted For Gas Costs</w:t>
      </w:r>
      <w:r>
        <w:rPr/>
        <w:t>").</w:t>
      </w:r>
      <w:bookmarkEnd w:id="8"/>
    </w:p>
    <w:p>
      <w:pPr>
        <w:pStyle w:val="List"/>
        <w:numPr>
          <w:ilvl w:val="0"/>
          <w:numId w:val="4"/>
        </w:numPr>
        <w:spacing w:before="0" w:after="120"/>
        <w:ind w:hanging="0" w:start="0"/>
        <w:rPr/>
      </w:pPr>
      <w:bookmarkStart w:id="9" w:name="_Ref512738482"/>
      <w:r>
        <w:rPr>
          <w:b/>
        </w:rPr>
        <w:t>Taxes:</w:t>
      </w:r>
      <w:r>
        <w:rPr/>
        <w:t xml:space="preserve">  The Customer shall be responsible for and agrees to pay all taxes including the Goods and Services Tax and any similar tax imposed by a municipal, provincial or the federal government of Canada and all other applicable taxes or duties whatsoever, which are or may become exigible in connection with the supply or delivery of natural gas to the Service Address (the "</w:t>
      </w:r>
      <w:r>
        <w:rPr>
          <w:b/>
        </w:rPr>
        <w:t>Taxes</w:t>
      </w:r>
      <w:r>
        <w:rPr/>
        <w:t>").</w:t>
      </w:r>
      <w:bookmarkEnd w:id="9"/>
      <w:r>
        <w:rPr/>
        <w:t xml:space="preserve"> </w:t>
      </w:r>
    </w:p>
    <w:p>
      <w:pPr>
        <w:pStyle w:val="List"/>
        <w:numPr>
          <w:ilvl w:val="0"/>
          <w:numId w:val="0"/>
        </w:numPr>
        <w:spacing w:before="0" w:after="120"/>
        <w:ind w:hanging="0" w:start="0"/>
        <w:rPr/>
      </w:pPr>
      <w:r>
        <w:rPr/>
      </w:r>
      <w:bookmarkStart w:id="10" w:name="_Ref506283746"/>
      <w:bookmarkStart w:id="11" w:name="_Ref506283746"/>
    </w:p>
    <w:p>
      <w:pPr>
        <w:pStyle w:val="List"/>
        <w:numPr>
          <w:ilvl w:val="0"/>
          <w:numId w:val="0"/>
        </w:numPr>
        <w:spacing w:before="0" w:after="120"/>
        <w:ind w:hanging="0" w:start="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7">
                <wp:simplePos x="0" y="0"/>
                <wp:positionH relativeFrom="column">
                  <wp:posOffset>1418590</wp:posOffset>
                </wp:positionH>
                <wp:positionV relativeFrom="paragraph">
                  <wp:posOffset>-2540</wp:posOffset>
                </wp:positionV>
                <wp:extent cx="1847850" cy="750570"/>
                <wp:effectExtent l="0" t="0" r="0" b="0"/>
                <wp:wrapNone/>
                <wp:docPr id="6" name="Frame6"/>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Version:______     Page 6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0.2pt;mso-position-vertical-relative:text;margin-left:111.7pt;mso-position-horizontal-relative:text">
                <v:textbox>
                  <w:txbxContent>
                    <w:p>
                      <w:pPr>
                        <w:pStyle w:val="Footer"/>
                        <w:tabs>
                          <w:tab w:val="clear" w:pos="4320"/>
                          <w:tab w:val="clear" w:pos="8640"/>
                        </w:tabs>
                        <w:spacing w:before="0" w:after="0"/>
                        <w:rPr/>
                      </w:pPr>
                      <w:r>
                        <w:rPr/>
                        <w:t>Version:______     Page 6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v:textbox>
                <w10:wrap type="none"/>
              </v:rect>
            </w:pict>
          </mc:Fallback>
        </mc:AlternateContent>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jc w:val="end"/>
        <w:rPr/>
      </w:pPr>
      <w:r>
        <w:rPr/>
      </w:r>
    </w:p>
    <w:p>
      <w:pPr>
        <w:pStyle w:val="List"/>
        <w:numPr>
          <w:ilvl w:val="0"/>
          <w:numId w:val="0"/>
        </w:numPr>
        <w:spacing w:before="0" w:after="120"/>
        <w:ind w:hanging="0" w:start="0"/>
        <w:rPr/>
      </w:pPr>
      <w:r>
        <w:rPr/>
      </w:r>
    </w:p>
    <w:p>
      <w:pPr>
        <w:pStyle w:val="List"/>
        <w:numPr>
          <w:ilvl w:val="0"/>
          <w:numId w:val="4"/>
        </w:numPr>
        <w:spacing w:before="0" w:after="120"/>
        <w:ind w:hanging="0" w:start="0"/>
        <w:rPr/>
      </w:pPr>
      <w:bookmarkStart w:id="12" w:name="_Ref517666395"/>
      <w:r>
        <w:rPr>
          <w:b/>
        </w:rPr>
        <w:t>Payment Terms:</w:t>
      </w:r>
      <w:r>
        <w:rPr/>
        <w:t xml:space="preserve">  Each month, or at such other intervals as shall be agreed, Enron Direct shall send to the Customer an account for all amounts due to Enron Direct pursuant to the Contract for that month or the applicable billing period.  In the event that there is more than one Service Address described in the Application, Enron Direct may aggregate the payment obligations under the Contracts under one account.  The Customer shall pay such amounts in full and in freely available funds via cheque, electronic funds transfer or direct debit from the Customer's bank account, as designated by the Customer from time to time, within 15 days of the date of the account failing which Enron Direct may invoice the Customer and the Customer shall pay interest on the unpaid amount at the prime lending rate set by The Toronto-Dominion Bank</w:t>
      </w:r>
      <w:r>
        <w:rPr>
          <w:b/>
        </w:rPr>
        <w:t xml:space="preserve"> </w:t>
      </w:r>
      <w:r>
        <w:rPr/>
        <w:t>from time to time (the "</w:t>
      </w:r>
      <w:r>
        <w:rPr>
          <w:b/>
        </w:rPr>
        <w:t>Prime Rate</w:t>
      </w:r>
      <w:r>
        <w:rPr/>
        <w:t>") plus 4% per annum,</w:t>
      </w:r>
      <w:r>
        <w:rPr>
          <w:b/>
        </w:rPr>
        <w:t xml:space="preserve"> </w:t>
      </w:r>
      <w:r>
        <w:rPr/>
        <w:t>as from the due date (before and after judgment) of payment, compounded monthly.  Enron Direct also shall be entitled to assess charges on cheques and direct withdrawals that are dishonoured.  Failure to receive such an account will not entitle the Customer to delay settlement of such account or to extend the date after which interest becomes payable.  The Customer shall pay the full amount of any disputed accounts pending resolution of the dispute.  The Customer shall also be responsible for any legal and collection costs in the event that Enron Direct refers the Customer's account for collection.  Enron Direct shall be entitled to revise any bill after it is rendered, regardless of payment by the Customer, to account for any reassessment made by the Distribution Company.</w:t>
      </w:r>
      <w:bookmarkEnd w:id="11"/>
      <w:bookmarkEnd w:id="12"/>
      <w:r>
        <w:rPr/>
        <w:t xml:space="preserve">  </w:t>
      </w:r>
    </w:p>
    <w:p>
      <w:pPr>
        <w:pStyle w:val="List"/>
        <w:numPr>
          <w:ilvl w:val="0"/>
          <w:numId w:val="4"/>
        </w:numPr>
        <w:spacing w:before="0" w:after="120"/>
        <w:ind w:hanging="0" w:start="0"/>
        <w:rPr/>
      </w:pPr>
      <w:bookmarkStart w:id="13" w:name="_Ref512738502"/>
      <w:r>
        <w:rPr>
          <w:b/>
        </w:rPr>
        <w:t xml:space="preserve">Netting and Offset:  </w:t>
      </w:r>
      <w:r>
        <w:rPr/>
        <w:t>Enron Direct shall be entitled to net, set-off or offset (pursuant to the Contract or any other agreement or by law, equity or otherwise) any amounts owing by Enron Direct or any of its affiliates to the Customer or any of the Customer’s affiliates under the Contract or any other agreement between Enron Direct or any of its affiliates and the Customer or any of the Customer’s affiliates, against any amounts owed to Enron Direct or any of its affiliates by the Customer or any of the Customer’s affiliates under the Contract or any other agreement between Enron Direct or any of its affiliates and the Customer or any of the Customer’s affiliates.  As used in the Contract, "</w:t>
      </w:r>
      <w:r>
        <w:rPr>
          <w:b/>
        </w:rPr>
        <w:t>affiliate</w:t>
      </w:r>
      <w:r>
        <w:rPr/>
        <w:t>" means, in respect of any person or entity, any person or entity that directly, or indirectly through one or more intermediaries, controls, is controlled by, or is under common control with, such person or entity, through the power, either directly or indirectly, to direct or cause the direction of the management and policies of such person or entity whether through the ownership of voting securities or otherwise.</w:t>
      </w:r>
      <w:bookmarkEnd w:id="13"/>
    </w:p>
    <w:p>
      <w:pPr>
        <w:pStyle w:val="List"/>
        <w:numPr>
          <w:ilvl w:val="0"/>
          <w:numId w:val="4"/>
        </w:numPr>
        <w:spacing w:before="0" w:after="120"/>
        <w:ind w:hanging="0" w:start="0"/>
        <w:rPr>
          <w:b/>
        </w:rPr>
      </w:pPr>
      <w:bookmarkStart w:id="14" w:name="_Ref506283500"/>
      <w:r>
        <w:rPr>
          <w:b/>
        </w:rPr>
        <w:t xml:space="preserve">Delay or Non-Performance:  </w:t>
      </w:r>
      <w:r>
        <w:rPr/>
        <w:t>If Enron Direct delays in performing, or is unable to perform, any or all obligations under the Contract because of some event or circumstance beyond its reasonable control, the Contract shall remain in full effect but Enron Direct shall have no liability for any such failure or delay.</w:t>
      </w:r>
      <w:bookmarkEnd w:id="14"/>
    </w:p>
    <w:p>
      <w:pPr>
        <w:pStyle w:val="List"/>
        <w:numPr>
          <w:ilvl w:val="0"/>
          <w:numId w:val="4"/>
        </w:numPr>
        <w:spacing w:before="0" w:after="120"/>
        <w:ind w:hanging="0" w:start="0"/>
        <w:rPr>
          <w:b/>
        </w:rPr>
      </w:pPr>
      <w:bookmarkStart w:id="15" w:name="_Ref506283752"/>
      <w:r>
        <w:rPr>
          <w:b/>
        </w:rPr>
        <w:t xml:space="preserve">Obligations to Third Parties: </w:t>
      </w:r>
      <w:r>
        <w:rPr/>
        <w:t>The Customer acknowledges and agrees that Enron Direct is bound by agreements with and certain policies, guidelines and directives of the Distribution Company, the legislation, regulations, rules, instructions, policies, pronouncements and other directives of regulatory and governmental authorities, relating to the supply and delivery of natural gas in Alberta (collectively, the "</w:t>
      </w:r>
      <w:r>
        <w:rPr>
          <w:b/>
        </w:rPr>
        <w:t>Industry</w:t>
      </w:r>
      <w:r>
        <w:rPr/>
        <w:t xml:space="preserve"> </w:t>
      </w:r>
      <w:r>
        <w:rPr>
          <w:b/>
        </w:rPr>
        <w:t>Terms and Directives</w:t>
      </w:r>
      <w:r>
        <w:rPr/>
        <w:t>").  The Customer agrees to cooperate with Enron Direct in order for Enron Direct to comply with the Industry Terms and Directives and to promptly execute any documents or directives, including the Distribution Company's customer information authorizations, reasonably requested by Enron Direct.</w:t>
      </w:r>
      <w:bookmarkEnd w:id="15"/>
    </w:p>
    <w:p>
      <w:pPr>
        <w:pStyle w:val="List"/>
        <w:numPr>
          <w:ilvl w:val="0"/>
          <w:numId w:val="0"/>
        </w:numPr>
        <w:spacing w:before="0" w:after="120"/>
        <w:ind w:hanging="0" w:start="0"/>
        <w:rPr/>
      </w:pPr>
      <w:r>
        <w:rPr/>
        <w:t>The Customer acknowledges and agrees that it may be bound by certain agreements, terms and conditions, policies, guidelines and directives of the Distribution Company and certain legislation, regulations, rules, instructions, policies, pronouncements and other directives of regulatory and governmental authorities (collectively, the "</w:t>
      </w:r>
      <w:r>
        <w:rPr>
          <w:b/>
        </w:rPr>
        <w:t>Customer Terms and Directives</w:t>
      </w:r>
      <w:r>
        <w:rPr/>
        <w:t>") and that the Customer's failure to adhere to and comply with the Customer Terms and Directives may result in Enron Direct being unable to supply natural gas for the Service Address.  The Customer agrees to provide notice of supply and service charges to the Distribution Company directly where necessary.</w:t>
      </w:r>
    </w:p>
    <w:p>
      <w:pPr>
        <w:pStyle w:val="List"/>
        <w:numPr>
          <w:ilvl w:val="0"/>
          <w:numId w:val="4"/>
        </w:numPr>
        <w:spacing w:before="0" w:after="120"/>
        <w:ind w:hanging="0" w:start="0"/>
        <w:rPr/>
      </w:pPr>
      <w:bookmarkStart w:id="16" w:name="_Ref509826503"/>
      <w:r>
        <w:rPr>
          <w:b/>
        </w:rPr>
        <w:t>Customer Indemnity:</w:t>
      </w:r>
      <w:r>
        <w:rPr/>
        <w:t xml:space="preserve">  Customer agrees that it will indemnify and save harmless Enron Direct, its affiliates, the respective directors, officers, and employees, and the permitted assigns of Enron Direct and its affiliates (collectively, "</w:t>
      </w:r>
      <w:r>
        <w:rPr>
          <w:b/>
        </w:rPr>
        <w:t>Enron and its Representatives</w:t>
      </w:r>
      <w:r>
        <w:rPr/>
        <w:t>") in full for any loss, damage, injury, liability or cost which any of Enron and its Representatives, as applicable, suffers arising from, or incurs as a consequence of, any act or omission of Customer relating to the supply or delivery of natural gas to the Service Address including, without limitation to the foregoing, any claim resulting from any default or breach by the Customer, or any failure of the Customer to perform any obligation relating to the Contract or any obligation to any third party, including, but not limited to, under any agreement with the Distribution Company.</w:t>
      </w:r>
      <w:bookmarkEnd w:id="16"/>
    </w:p>
    <w:p>
      <w:pPr>
        <w:pStyle w:val="List"/>
        <w:numPr>
          <w:ilvl w:val="0"/>
          <w:numId w:val="4"/>
        </w:numPr>
        <w:spacing w:before="0" w:after="120"/>
        <w:ind w:hanging="0" w:start="0"/>
        <w:rPr/>
      </w:pPr>
      <w:r>
        <w:rPr>
          <w:b/>
        </w:rPr>
        <w:t>Enron Direct Indemnity:</w:t>
      </w:r>
      <w:r>
        <w:rPr/>
        <w:t xml:space="preserve">  For the purposes of section 4(1)(h) of the </w:t>
      </w:r>
      <w:r>
        <w:rPr>
          <w:i/>
        </w:rPr>
        <w:t>Gas Utilities Core Market Regulation</w:t>
      </w:r>
      <w:r>
        <w:rPr/>
        <w:t xml:space="preserve"> under the </w:t>
      </w:r>
      <w:r>
        <w:rPr>
          <w:i/>
        </w:rPr>
        <w:t>Gas Utilities Act</w:t>
      </w:r>
      <w:r>
        <w:rPr/>
        <w:t xml:space="preserve"> (Alberta), Enron Direct agrees that it will indemnify Customer during the Term for any amounts which the Customer is liable to the Distribution Company by reason of the Customer’s obligation to pay the Distribution Company any amount determined by the Alberta Energy and Utilities Board as compensation for the failure to deliver natural gas to the Distribution Company in accordance with the terms of the Customer’s transportation agreement with the Distribution Company entered in connection with the delivery of natural gas under the Contract where the failure of the Customer to deliver gas to the Distribution Company in accordance with such agreement is the result of Enron Direct’s failure to deliver natural gas in accordance with its obligations under the Contract.</w:t>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0"/>
        </w:numPr>
        <w:spacing w:before="0" w:after="120"/>
        <w:ind w:hanging="0" w:start="0"/>
        <w:rPr/>
      </w:pPr>
      <w:r>
        <w:rPr/>
      </w:r>
    </w:p>
    <w:p>
      <w:pPr>
        <w:pStyle w:val="List"/>
        <w:numPr>
          <w:ilvl w:val="0"/>
          <w:numId w:val="4"/>
        </w:numPr>
        <w:spacing w:before="0" w:after="120"/>
        <w:ind w:hanging="0" w:start="0"/>
        <w:rPr/>
      </w:pPr>
      <w:r>
        <w:rPr>
          <w:b/>
        </w:rPr>
        <w:t xml:space="preserve">Emergencies:  </w:t>
      </w:r>
      <w:r>
        <w:rPr/>
        <w:t>The Customer shall notify the Distribution Company and Enron Direct immediately of the occurrence of any emergencies related to the supply of natural gas to the Service Address or the facilities serving the Service Address.</w:t>
      </w:r>
    </w:p>
    <w:p>
      <w:pPr>
        <w:pStyle w:val="List"/>
        <w:numPr>
          <w:ilvl w:val="0"/>
          <w:numId w:val="4"/>
        </w:numPr>
        <w:spacing w:before="0" w:after="120"/>
        <w:ind w:hanging="0" w:start="0"/>
        <w:rPr/>
      </w:pPr>
      <w:bookmarkStart w:id="17" w:name="_Ref512738412"/>
      <w:r>
        <w:rPr>
          <w:b/>
        </w:rPr>
        <w:t xml:space="preserve">Credit:  </w:t>
      </w:r>
      <w:r>
        <w:rPr/>
        <w:t>The Customer shall satisfy Enron Direct that the Customer is capable of meeting its obligations hereunder by satisfying, at the sole discretion of Enron Direct, the credit and security requirements as follows:</w:t>
      </w:r>
      <w:bookmarkEnd w:id="17"/>
    </w:p>
    <w:p>
      <w:pPr>
        <w:pStyle w:val="ListBullet2"/>
        <w:numPr>
          <w:ilvl w:val="0"/>
          <w:numId w:val="0"/>
        </w:numPr>
        <w:tabs>
          <w:tab w:val="clear" w:pos="720"/>
        </w:tabs>
        <w:spacing w:before="0" w:after="120"/>
        <w:ind w:hanging="360" w:start="360" w:end="0"/>
        <w:rPr>
          <w:sz w:val="14"/>
        </w:rPr>
      </w:pPr>
      <w:r>
        <w:rPr>
          <w:sz w:val="14"/>
        </w:rPr>
        <w:t>(a)</w:t>
        <w:tab/>
        <w:t>the Customer shall provide information necessary to establish and monitor the Customer's ability to pay; and</w:t>
      </w:r>
    </w:p>
    <w:p>
      <w:pPr>
        <w:pStyle w:val="ListBullet2"/>
        <w:numPr>
          <w:ilvl w:val="0"/>
          <w:numId w:val="0"/>
        </w:numPr>
        <w:tabs>
          <w:tab w:val="clear" w:pos="720"/>
        </w:tabs>
        <w:spacing w:before="0" w:after="120"/>
        <w:ind w:hanging="360" w:start="360" w:end="0"/>
        <w:rPr>
          <w:sz w:val="14"/>
        </w:rPr>
      </w:pPr>
      <w:r>
        <w:rPr>
          <w:sz w:val="14"/>
        </w:rPr>
        <w:t>(b)</w:t>
        <w:tab/>
        <w:t>the Customer shall provide and maintain one of the following forms of security which Enron Direct may, in its sole and absolute discretion, require from time to time:  (i) a guarantee of payment from a guarantor who satisfies Enron Direct's credit requirements; or (ii) an irrevocable letter of credit from a Canadian chartered bank or equivalent lending institution satisfactory to Enron Direct; or (iii) such other collateral as may be reasonably acceptable to Enron Direct.</w:t>
      </w:r>
    </w:p>
    <w:p>
      <w:pPr>
        <w:pStyle w:val="ListBullet2"/>
        <w:numPr>
          <w:ilvl w:val="0"/>
          <w:numId w:val="0"/>
        </w:numPr>
        <w:tabs>
          <w:tab w:val="clear" w:pos="720"/>
        </w:tabs>
        <w:spacing w:before="0" w:after="120"/>
        <w:ind w:hanging="0" w:start="0"/>
        <w:rPr>
          <w:sz w:val="14"/>
        </w:rPr>
      </w:pPr>
      <w:r>
        <w:rPr>
          <w:sz w:val="14"/>
        </w:rPr>
        <w:t>The Customer shall provide the security required and any amendment or additional security requested by Enron Direct from time to time, in Enron Direct’s sole and absolute discretion, within 5 business days of the request of Enron Direct.</w:t>
      </w:r>
    </w:p>
    <w:p>
      <w:pPr>
        <w:pStyle w:val="Normal"/>
        <w:spacing w:before="0" w:after="120"/>
        <w:rPr>
          <w:sz w:val="14"/>
        </w:rPr>
      </w:pPr>
      <w:r>
        <w:rPr>
          <w:sz w:val="14"/>
        </w:rPr>
        <w:t>If the Customer is unable to satisfy either the credit or security requirements, without limitation or restriction to other remedies available to Enron Direct under these Terms and Conditions, the Customer will be required to prepay any amounts expected to become payable under the Contract. Notwithstanding any credit or security arrangements, Enron Direct, in its discretion, may require prepayment as a condition precedent to providing, or continuing to provide, natural gas and related services under the Contract.</w:t>
      </w:r>
    </w:p>
    <w:p>
      <w:pPr>
        <w:pStyle w:val="List"/>
        <w:numPr>
          <w:ilvl w:val="0"/>
          <w:numId w:val="4"/>
        </w:numPr>
        <w:spacing w:before="0" w:after="120"/>
        <w:ind w:hanging="0" w:start="0"/>
        <w:rPr/>
      </w:pPr>
      <w:bookmarkStart w:id="18" w:name="_Ref512738508"/>
      <w:bookmarkStart w:id="19" w:name="_Ref506283759"/>
      <w:r>
        <w:rPr>
          <w:b/>
        </w:rPr>
        <w:t>Limitation On Liability:</w:t>
      </w:r>
      <w:r>
        <w:rPr/>
        <w:t xml:space="preserve">  The Customer and Enron Direct agree that the total aggregate liability of Enron and its Representatives to the Customer or any other person, whether in contract, tort (including negligence or breach of statutory duty) or otherwise arising, directly or indirectly under or in connection with matters contemplated by the Contracts for all Service Addresses shall in no circumstances exceed $25,000.  Enron and its Representatives shall have no liability, under all circumstances, to the Customer or any other party for any environmental, economic, consequential, special, punitive, exemplary, incidental or indirect damages arising from or in connection with the Contract or the supply, delivery, purchase or sale of natural gas under the Contract.</w:t>
      </w:r>
      <w:bookmarkEnd w:id="19"/>
      <w:r>
        <w:rPr/>
        <w:t xml:space="preserve">  The Customer acknowledges that the exclusions from, and limitations to, liability contained herein are reasonable given, among other matters, the possibility that the amount of damages that could be awarded to the Customer against Enron Direct would otherwise be disproportionate to the revenues which Enron Direct would receive under the Contract.</w:t>
      </w:r>
      <w:bookmarkEnd w:id="18"/>
    </w:p>
    <w:p>
      <w:pPr>
        <w:pStyle w:val="List"/>
        <w:numPr>
          <w:ilvl w:val="0"/>
          <w:numId w:val="4"/>
        </w:numPr>
        <w:spacing w:before="0" w:after="120"/>
        <w:ind w:hanging="0" w:start="0"/>
        <w:rPr/>
      </w:pPr>
      <w:r>
        <w:rPr>
          <w:b/>
        </w:rPr>
        <w:t xml:space="preserve">Amendments:  </w:t>
      </w:r>
      <w:r>
        <w:rPr/>
        <w:t>If the Industry Terms and Directives or the Customer Terms and Directives are amended, varied or cease to apply during the Term (each such event a “</w:t>
      </w:r>
      <w:r>
        <w:rPr>
          <w:b/>
          <w:bCs/>
        </w:rPr>
        <w:t>Change of Directive</w:t>
      </w:r>
      <w:r>
        <w:rPr/>
        <w:t>”), the Customer will, at the request of Enron Direct, amend the Contract to accommodate any such Change of Directive in such manner as Enron Direct shall reasonably require upon the receipt of written notice from Enron Direct.  The Contract may only be amended by written instrument signed by the parties.</w:t>
      </w:r>
    </w:p>
    <w:p>
      <w:pPr>
        <w:pStyle w:val="List"/>
        <w:numPr>
          <w:ilvl w:val="0"/>
          <w:numId w:val="4"/>
        </w:numPr>
        <w:spacing w:before="0" w:after="120"/>
        <w:ind w:hanging="0" w:start="0"/>
        <w:rPr/>
      </w:pPr>
      <w:bookmarkStart w:id="20" w:name="_Ref506283654"/>
      <w:r>
        <w:rPr>
          <w:b/>
        </w:rPr>
        <w:t>Termination:</w:t>
      </w:r>
      <w:r>
        <w:rPr/>
        <w:t xml:space="preserve">  In addition to any other remedies the parties may have in equity, at law or under the Contract, the parties may terminate the Contract on any of the following circumstances:</w:t>
      </w:r>
      <w:bookmarkEnd w:id="20"/>
    </w:p>
    <w:p>
      <w:pPr>
        <w:pStyle w:val="Style41"/>
        <w:numPr>
          <w:ilvl w:val="2"/>
          <w:numId w:val="8"/>
        </w:numPr>
        <w:spacing w:before="0" w:after="120"/>
        <w:ind w:hanging="0" w:start="0"/>
        <w:rPr/>
      </w:pPr>
      <w:r>
        <w:rPr/>
        <w:t>immediately by one party, where the other party or, if applicable, a guarantor of the  Customer: (i) makes an assignment or arrangement for the benefit of, or protection from, any of its creditors, (ii) 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(iii) has any petition filed, any ruling, order, directive or pronouncement obtained, or any proceeding or action commenced under any Insolvency Law against it or have any material portion of its assets made subject to any seizure or realization and such petition, ruling, order, directive, pronouncement, proceeding, action, seizure or realization remains undismissed for 30 days; (iv) shall otherwise become bankrupt or insolvent (however evidenced); or (v) shall be unable to pay its debts as they fall due;</w:t>
      </w:r>
    </w:p>
    <w:p>
      <w:pPr>
        <w:pStyle w:val="Style41"/>
        <w:numPr>
          <w:ilvl w:val="2"/>
          <w:numId w:val="6"/>
        </w:numPr>
        <w:spacing w:before="0" w:after="120"/>
        <w:ind w:hanging="0" w:start="0"/>
        <w:rPr/>
      </w:pPr>
      <w:r>
        <w:rPr/>
        <w:t>on written notice by Enron Direct if Enron Direct is unable or is prevented from complying with any of the obligations it owes to the Distribution Company or if the Distribution Company is unable or is prevented from complying with any of the obligations it owes to Enron Direct;</w:t>
      </w:r>
    </w:p>
    <w:p>
      <w:pPr>
        <w:pStyle w:val="Style41"/>
        <w:numPr>
          <w:ilvl w:val="2"/>
          <w:numId w:val="6"/>
        </w:numPr>
        <w:spacing w:before="0" w:after="120"/>
        <w:ind w:hanging="0" w:start="0"/>
        <w:rPr/>
      </w:pPr>
      <w:r>
        <w:rPr/>
        <w:t xml:space="preserve">immediately by Enron Direct if, as determined by Enron Direct, any: (i) amendment to applicable law, by-law, statute, regulation, rule, ordinance, policy, order, code, information letter, guideline, bulletin or directive (but excluding any such amendment which would also constitute a Change of Directive for which the provisions of Section </w:t>
      </w:r>
      <w:r>
        <w:rPr/>
        <w:fldChar w:fldCharType="begin"/>
      </w:r>
      <w:r>
        <w:rPr/>
        <w:instrText xml:space="preserve"> REF _Ref512738508 \r \r \h </w:instrText>
      </w:r>
      <w:r>
        <w:rPr/>
        <w:fldChar w:fldCharType="separate"/>
      </w:r>
      <w:r>
        <w:rPr/>
        <w:t>24</w:t>
      </w:r>
      <w:r>
        <w:rPr/>
        <w:fldChar w:fldCharType="end"/>
      </w:r>
      <w:r>
        <w:rPr/>
        <w:t xml:space="preserve"> apply) (each, a "</w:t>
      </w:r>
      <w:r>
        <w:rPr>
          <w:b/>
        </w:rPr>
        <w:t>Change of Law</w:t>
      </w:r>
      <w:r>
        <w:rPr/>
        <w:t>"); or (ii)  judicial or regulatory order (each, an "</w:t>
      </w:r>
      <w:r>
        <w:rPr>
          <w:b/>
        </w:rPr>
        <w:t>Order</w:t>
      </w:r>
      <w:r>
        <w:rPr/>
        <w:t>"), requires, directs or makes desirable, directly or indirectly, that a material term be amended, inserted or deleted in the Contract and Enron Direct notifies the Customer that it wishes to renegotiate the terms and conditions of the Contract in connection with such amendment, insertion or deletion and the parties are unable to agree upon the revised terms and conditions of the Contract within 30 days of such notice;</w:t>
      </w:r>
    </w:p>
    <w:p>
      <w:pPr>
        <w:pStyle w:val="Style41"/>
        <w:numPr>
          <w:ilvl w:val="0"/>
          <w:numId w:val="0"/>
        </w:numPr>
        <w:spacing w:before="0" w:after="120"/>
        <w:ind w:hanging="0" w:start="0"/>
        <w:rPr/>
      </w:pPr>
      <w:r>
        <w:rPr/>
      </w:r>
    </w:p>
    <w:p>
      <w:pPr>
        <w:pStyle w:val="Style41"/>
        <w:numPr>
          <w:ilvl w:val="0"/>
          <w:numId w:val="0"/>
        </w:numPr>
        <w:spacing w:before="0" w:after="120"/>
        <w:ind w:hanging="0" w:start="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8">
                <wp:simplePos x="0" y="0"/>
                <wp:positionH relativeFrom="column">
                  <wp:posOffset>1304290</wp:posOffset>
                </wp:positionH>
                <wp:positionV relativeFrom="paragraph">
                  <wp:posOffset>-2540</wp:posOffset>
                </wp:positionV>
                <wp:extent cx="1847850" cy="750570"/>
                <wp:effectExtent l="0" t="0" r="0" b="0"/>
                <wp:wrapNone/>
                <wp:docPr id="7" name="Frame7"/>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      Page 7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0.2pt;mso-position-vertical-relative:text;margin-left:102.7pt;mso-position-horizontal-relative:text">
                <v:textbox>
                  <w:txbxContent>
                    <w:p>
                      <w:pPr>
                        <w:pStyle w:val="Footer"/>
                        <w:tabs>
                          <w:tab w:val="clear" w:pos="4320"/>
                          <w:tab w:val="clear" w:pos="8640"/>
                        </w:tabs>
                        <w:spacing w:before="0" w:after="0"/>
                        <w:rPr/>
                      </w:pPr>
                      <w:r>
                        <w:rPr/>
                        <w:t>Version:_____      Page 7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v:textbox>
                <w10:wrap type="none"/>
              </v:rect>
            </w:pict>
          </mc:Fallback>
        </mc:AlternateContent>
      </w:r>
    </w:p>
    <w:p>
      <w:pPr>
        <w:pStyle w:val="Style41"/>
        <w:numPr>
          <w:ilvl w:val="0"/>
          <w:numId w:val="0"/>
        </w:numPr>
        <w:spacing w:before="0" w:after="120"/>
        <w:ind w:hanging="0" w:start="0"/>
        <w:rPr/>
      </w:pPr>
      <w:r>
        <w:rPr/>
      </w:r>
    </w:p>
    <w:p>
      <w:pPr>
        <w:pStyle w:val="Style41"/>
        <w:numPr>
          <w:ilvl w:val="0"/>
          <w:numId w:val="0"/>
        </w:numPr>
        <w:spacing w:before="0" w:after="120"/>
        <w:ind w:hanging="0" w:start="0"/>
        <w:rPr/>
      </w:pPr>
      <w:r>
        <w:rPr/>
      </w:r>
    </w:p>
    <w:p>
      <w:pPr>
        <w:pStyle w:val="Style41"/>
        <w:numPr>
          <w:ilvl w:val="0"/>
          <w:numId w:val="0"/>
        </w:numPr>
        <w:spacing w:before="0" w:after="120"/>
        <w:ind w:hanging="0" w:start="0"/>
        <w:jc w:val="end"/>
        <w:rPr/>
      </w:pPr>
      <w:r>
        <w:rPr/>
      </w:r>
    </w:p>
    <w:p>
      <w:pPr>
        <w:pStyle w:val="Style41"/>
        <w:numPr>
          <w:ilvl w:val="0"/>
          <w:numId w:val="0"/>
        </w:numPr>
        <w:spacing w:before="0" w:after="120"/>
        <w:ind w:hanging="0" w:start="0"/>
        <w:rPr/>
      </w:pPr>
      <w:r>
        <w:rPr/>
      </w:r>
    </w:p>
    <w:p>
      <w:pPr>
        <w:pStyle w:val="Style41"/>
        <w:numPr>
          <w:ilvl w:val="2"/>
          <w:numId w:val="6"/>
        </w:numPr>
        <w:spacing w:before="0" w:after="120"/>
        <w:ind w:hanging="0" w:start="0"/>
        <w:rPr/>
      </w:pPr>
      <w:r>
        <w:rPr/>
        <w:t>immediately by Enron Direct if the Customer fails to pay its account when due or commits any other breach of the Contract and such failure is not remedied within 5 Business Days of delivery of written notice;</w:t>
      </w:r>
    </w:p>
    <w:p>
      <w:pPr>
        <w:pStyle w:val="Style41"/>
        <w:numPr>
          <w:ilvl w:val="2"/>
          <w:numId w:val="6"/>
        </w:numPr>
        <w:spacing w:before="0" w:after="120"/>
        <w:ind w:hanging="0" w:start="0"/>
        <w:rPr/>
      </w:pPr>
      <w:r>
        <w:rPr/>
        <w:t>immediately by Enron Direct if the Distribution Company no longer services the Service Address for any reason or takes any step to disconnect supply, other than as a result of an emergency or to facilitate repairs to the natural gas facilities;</w:t>
      </w:r>
    </w:p>
    <w:p>
      <w:pPr>
        <w:pStyle w:val="Style41"/>
        <w:numPr>
          <w:ilvl w:val="2"/>
          <w:numId w:val="6"/>
        </w:numPr>
        <w:spacing w:before="0" w:after="120"/>
        <w:ind w:hanging="0" w:start="0"/>
        <w:rPr/>
      </w:pPr>
      <w:r>
        <w:rPr/>
        <w:t>immediately by Enron Direct if the Customer authorizes another natural gas supplier as a "gas marketer" (as defined in the Regulations) for the Service Address during the Term;</w:t>
      </w:r>
    </w:p>
    <w:p>
      <w:pPr>
        <w:pStyle w:val="Style41"/>
        <w:numPr>
          <w:ilvl w:val="2"/>
          <w:numId w:val="6"/>
        </w:numPr>
        <w:spacing w:before="0" w:after="120"/>
        <w:ind w:hanging="0" w:start="0"/>
        <w:rPr/>
      </w:pPr>
      <w:r>
        <w:rPr/>
        <w:t>immediately by Enron Direct if any other natural gas supplier is appointed by the Distribution Company to supply natural gas to the Service Address during the Term due to an event of default affecting the Customer;</w:t>
      </w:r>
    </w:p>
    <w:p>
      <w:pPr>
        <w:pStyle w:val="Style41"/>
        <w:numPr>
          <w:ilvl w:val="2"/>
          <w:numId w:val="6"/>
        </w:numPr>
        <w:spacing w:before="0" w:after="120"/>
        <w:ind w:hanging="0" w:start="0"/>
        <w:rPr/>
      </w:pPr>
      <w:r>
        <w:rPr/>
        <w:t>immediately by Enron Direct if the Contract or any part thereof is assigned without the consent of Enron Direct; or</w:t>
      </w:r>
    </w:p>
    <w:p>
      <w:pPr>
        <w:pStyle w:val="Style41"/>
        <w:numPr>
          <w:ilvl w:val="2"/>
          <w:numId w:val="6"/>
        </w:numPr>
        <w:spacing w:before="0" w:after="120"/>
        <w:ind w:hanging="0" w:start="0"/>
        <w:rPr/>
      </w:pPr>
      <w:r>
        <w:rPr/>
        <w:t>immediately by Enron Direct if the Service Address is, at any time during the Term, owned or occupied by any person other than the Customer.</w:t>
      </w:r>
    </w:p>
    <w:p>
      <w:pPr>
        <w:pStyle w:val="ListBullet2"/>
        <w:numPr>
          <w:ilvl w:val="0"/>
          <w:numId w:val="0"/>
        </w:numPr>
        <w:spacing w:before="0" w:after="120"/>
        <w:ind w:hanging="0" w:start="0"/>
        <w:rPr>
          <w:sz w:val="14"/>
        </w:rPr>
      </w:pPr>
      <w:r>
        <w:rPr>
          <w:sz w:val="14"/>
        </w:rPr>
        <w:t>Either party may give the other party additional warnings before it terminates the Contract.  The additional warning shall not operate to extend the termination notice periods set out above.</w:t>
      </w:r>
    </w:p>
    <w:p>
      <w:pPr>
        <w:pStyle w:val="List"/>
        <w:numPr>
          <w:ilvl w:val="0"/>
          <w:numId w:val="4"/>
        </w:numPr>
        <w:spacing w:before="0" w:after="120"/>
        <w:ind w:hanging="0" w:start="0"/>
        <w:rPr/>
      </w:pPr>
      <w:r>
        <w:rPr>
          <w:b/>
        </w:rPr>
        <w:t xml:space="preserve">Records:  </w:t>
      </w:r>
      <w:r>
        <w:rPr/>
        <w:t>The Customer has the right to review and obtain copies of any part of the "natural gas direct supply arrangements" (as defined in the Regulations) that Enron Direct enters into on the Customer's behalf.  The Customer also has the right to audit Enron Direct's records relating to the "consumer supply contract" (as defined in the Regulations).</w:t>
      </w:r>
    </w:p>
    <w:p>
      <w:pPr>
        <w:pStyle w:val="List"/>
        <w:numPr>
          <w:ilvl w:val="0"/>
          <w:numId w:val="4"/>
        </w:numPr>
        <w:spacing w:before="0" w:after="120"/>
        <w:ind w:hanging="0" w:start="0"/>
        <w:rPr/>
      </w:pPr>
      <w:r>
        <w:rPr>
          <w:b/>
        </w:rPr>
        <w:t>Title and Risk:</w:t>
      </w:r>
      <w:r>
        <w:rPr/>
        <w:t xml:space="preserve">  Natural gas shall be supplied at the connection point between the Distribution Company's and the Customer's natural gas facilities.  The entitlement to and risk associated with the natural gas will pass to the Customer at that point. </w:t>
      </w:r>
    </w:p>
    <w:p>
      <w:pPr>
        <w:pStyle w:val="List"/>
        <w:numPr>
          <w:ilvl w:val="0"/>
          <w:numId w:val="4"/>
        </w:numPr>
        <w:spacing w:before="0" w:after="120"/>
        <w:ind w:hanging="0" w:start="0"/>
        <w:rPr/>
      </w:pPr>
      <w:bookmarkStart w:id="21" w:name="_Ref506283687"/>
      <w:r>
        <w:rPr>
          <w:b/>
        </w:rPr>
        <w:t xml:space="preserve">Change of Service Address:  </w:t>
      </w:r>
      <w:r>
        <w:rPr/>
        <w:t>The Customer may apply to Enron Direct for approval to transfer the Customer's rights under the Contract to a new Service Address, which approval may be withheld or given entirely at the discretion of Enron Direct.  In the event that such approval is withheld, the Customer shall continue to be obligated to perform under the Contract with respect to the existing Service Address.</w:t>
      </w:r>
      <w:bookmarkEnd w:id="21"/>
    </w:p>
    <w:p>
      <w:pPr>
        <w:pStyle w:val="List"/>
        <w:numPr>
          <w:ilvl w:val="0"/>
          <w:numId w:val="4"/>
        </w:numPr>
        <w:spacing w:before="0" w:after="120"/>
        <w:ind w:hanging="0" w:start="0"/>
        <w:rPr/>
      </w:pPr>
      <w:bookmarkStart w:id="22" w:name="_Ref506283715"/>
      <w:r>
        <w:rPr>
          <w:b/>
        </w:rPr>
        <w:t>Assignment:</w:t>
      </w:r>
      <w:r>
        <w:rPr/>
        <w:t xml:space="preserve">  Neither party shall assign or otherwise transfer any of its rights or obligations under the Contract without the prior written consent of the other, such consent not to be unreasonably withheld; provided however, Enron Direct may assign or otherwise transfer any or all of its rights or obligations under the Contract to its affiliates without the consent of the Customer.  Other than with the consent of the other party or in the case of an assignment by Enron Direct to an affiliate, no assignment or transfer shall relieve the assignor or transferor of any of its obligations under the Contract.</w:t>
      </w:r>
      <w:bookmarkEnd w:id="22"/>
    </w:p>
    <w:p>
      <w:pPr>
        <w:pStyle w:val="List"/>
        <w:numPr>
          <w:ilvl w:val="0"/>
          <w:numId w:val="4"/>
        </w:numPr>
        <w:spacing w:before="0" w:after="120"/>
        <w:ind w:hanging="0" w:start="0"/>
        <w:rPr/>
      </w:pPr>
      <w:r>
        <w:rPr>
          <w:b/>
        </w:rPr>
        <w:t xml:space="preserve">Survival:  </w:t>
      </w:r>
      <w:r>
        <w:rPr/>
        <w:t xml:space="preserve">The provisions of Sections </w:t>
      </w:r>
      <w:r>
        <w:rPr/>
        <w:fldChar w:fldCharType="begin"/>
      </w:r>
      <w:r>
        <w:rPr/>
        <w:instrText xml:space="preserve"> REF _Ref506283729 \r \r \h </w:instrText>
      </w:r>
      <w:r>
        <w:rPr/>
        <w:fldChar w:fldCharType="separate"/>
      </w:r>
      <w:r>
        <w:rPr/>
        <w:t>9</w:t>
      </w:r>
      <w:r>
        <w:rPr/>
        <w:fldChar w:fldCharType="end"/>
      </w:r>
      <w:r>
        <w:rPr/>
        <w:t xml:space="preserve">, </w:t>
      </w:r>
      <w:r>
        <w:rPr/>
        <w:fldChar w:fldCharType="begin"/>
      </w:r>
      <w:r>
        <w:rPr/>
        <w:instrText xml:space="preserve"> REF _Ref506283737 \r \r \h </w:instrText>
      </w:r>
      <w:r>
        <w:rPr/>
        <w:fldChar w:fldCharType="separate"/>
      </w:r>
      <w:r>
        <w:rPr/>
        <w:t>10</w:t>
      </w:r>
      <w:r>
        <w:rPr/>
        <w:fldChar w:fldCharType="end"/>
      </w:r>
      <w:r>
        <w:rPr/>
        <w:t xml:space="preserve">, </w:t>
      </w:r>
      <w:r>
        <w:rPr/>
        <w:fldChar w:fldCharType="begin"/>
      </w:r>
      <w:r>
        <w:rPr/>
        <w:instrText xml:space="preserve"> REF _Ref512738472 \r \r \h </w:instrText>
      </w:r>
      <w:r>
        <w:rPr/>
        <w:fldChar w:fldCharType="separate"/>
      </w:r>
      <w:r>
        <w:rPr/>
        <w:t>11</w:t>
      </w:r>
      <w:r>
        <w:rPr/>
        <w:fldChar w:fldCharType="end"/>
      </w:r>
      <w:r>
        <w:rPr/>
        <w:t xml:space="preserve">, </w:t>
      </w:r>
      <w:r>
        <w:rPr/>
        <w:fldChar w:fldCharType="begin"/>
      </w:r>
      <w:r>
        <w:rPr/>
        <w:instrText xml:space="preserve"> REF _Ref512738437 \r \r \h </w:instrText>
      </w:r>
      <w:r>
        <w:rPr/>
        <w:fldChar w:fldCharType="separate"/>
      </w:r>
      <w:r>
        <w:rPr/>
        <w:t>12</w:t>
      </w:r>
      <w:r>
        <w:rPr/>
        <w:fldChar w:fldCharType="end"/>
      </w:r>
      <w:r>
        <w:rPr/>
        <w:t xml:space="preserve">, </w:t>
      </w:r>
      <w:r>
        <w:rPr/>
        <w:fldChar w:fldCharType="begin"/>
      </w:r>
      <w:r>
        <w:rPr/>
        <w:instrText xml:space="preserve"> REF _Ref512738478 \r \r \h </w:instrText>
      </w:r>
      <w:r>
        <w:rPr/>
        <w:fldChar w:fldCharType="separate"/>
      </w:r>
      <w:r>
        <w:rPr/>
        <w:t>13</w:t>
      </w:r>
      <w:r>
        <w:rPr/>
        <w:fldChar w:fldCharType="end"/>
      </w:r>
      <w:r>
        <w:rPr/>
        <w:t xml:space="preserve">, </w:t>
      </w:r>
      <w:r>
        <w:rPr/>
        <w:fldChar w:fldCharType="begin"/>
      </w:r>
      <w:r>
        <w:rPr/>
        <w:instrText xml:space="preserve"> REF _Ref512738480 \r \r \h </w:instrText>
      </w:r>
      <w:r>
        <w:rPr/>
        <w:fldChar w:fldCharType="separate"/>
      </w:r>
      <w:r>
        <w:rPr/>
        <w:t>14</w:t>
      </w:r>
      <w:r>
        <w:rPr/>
        <w:fldChar w:fldCharType="end"/>
      </w:r>
      <w:r>
        <w:rPr/>
        <w:t xml:space="preserve">, </w:t>
      </w:r>
      <w:r>
        <w:rPr/>
        <w:fldChar w:fldCharType="begin"/>
      </w:r>
      <w:r>
        <w:rPr/>
        <w:instrText xml:space="preserve"> REF _Ref512738482 \r \r \h </w:instrText>
      </w:r>
      <w:r>
        <w:rPr/>
        <w:fldChar w:fldCharType="separate"/>
      </w:r>
      <w:r>
        <w:rPr/>
        <w:t>15</w:t>
      </w:r>
      <w:r>
        <w:rPr/>
        <w:fldChar w:fldCharType="end"/>
      </w:r>
      <w:r>
        <w:rPr/>
        <w:t xml:space="preserve">, </w:t>
      </w:r>
      <w:r>
        <w:rPr/>
        <w:fldChar w:fldCharType="begin"/>
      </w:r>
      <w:r>
        <w:rPr/>
        <w:instrText xml:space="preserve"> REF _Ref517666395 \r \r \h </w:instrText>
      </w:r>
      <w:r>
        <w:rPr/>
        <w:fldChar w:fldCharType="separate"/>
      </w:r>
      <w:r>
        <w:rPr/>
        <w:t>16</w:t>
      </w:r>
      <w:r>
        <w:rPr/>
        <w:fldChar w:fldCharType="end"/>
      </w:r>
      <w:r>
        <w:rPr/>
        <w:t xml:space="preserve">, </w:t>
      </w:r>
      <w:r>
        <w:rPr/>
        <w:fldChar w:fldCharType="begin"/>
      </w:r>
      <w:r>
        <w:rPr/>
        <w:instrText xml:space="preserve"> REF _Ref512738502 \r \r \h </w:instrText>
      </w:r>
      <w:r>
        <w:rPr/>
        <w:fldChar w:fldCharType="separate"/>
      </w:r>
      <w:r>
        <w:rPr/>
        <w:t>17</w:t>
      </w:r>
      <w:r>
        <w:rPr/>
        <w:fldChar w:fldCharType="end"/>
      </w:r>
      <w:r>
        <w:rPr/>
        <w:t xml:space="preserve">, </w:t>
      </w:r>
      <w:r>
        <w:rPr/>
        <w:fldChar w:fldCharType="begin"/>
      </w:r>
      <w:r>
        <w:rPr/>
        <w:instrText xml:space="preserve"> REF _Ref509826503 \r \r \h </w:instrText>
      </w:r>
      <w:r>
        <w:rPr/>
        <w:fldChar w:fldCharType="separate"/>
      </w:r>
      <w:r>
        <w:rPr/>
        <w:t>20</w:t>
      </w:r>
      <w:r>
        <w:rPr/>
        <w:fldChar w:fldCharType="end"/>
      </w:r>
      <w:r>
        <w:rPr/>
        <w:t xml:space="preserve">, </w:t>
      </w:r>
      <w:r>
        <w:rPr/>
        <w:fldChar w:fldCharType="begin"/>
      </w:r>
      <w:r>
        <w:rPr/>
        <w:instrText xml:space="preserve"> REF _Ref512738508 \r \r \h </w:instrText>
      </w:r>
      <w:r>
        <w:rPr/>
        <w:fldChar w:fldCharType="separate"/>
      </w:r>
      <w:r>
        <w:rPr/>
        <w:t>24</w:t>
      </w:r>
      <w:r>
        <w:rPr/>
        <w:fldChar w:fldCharType="end"/>
      </w:r>
      <w:r>
        <w:rPr/>
        <w:t xml:space="preserve">, </w:t>
      </w:r>
      <w:r>
        <w:rPr/>
        <w:fldChar w:fldCharType="begin"/>
      </w:r>
      <w:r>
        <w:rPr/>
        <w:instrText xml:space="preserve"> REF _Ref506283715 \r \r \h </w:instrText>
      </w:r>
      <w:r>
        <w:rPr/>
        <w:fldChar w:fldCharType="separate"/>
      </w:r>
      <w:r>
        <w:rPr/>
        <w:t>30</w:t>
      </w:r>
      <w:r>
        <w:rPr/>
        <w:fldChar w:fldCharType="end"/>
      </w:r>
      <w:r>
        <w:rPr/>
        <w:t xml:space="preserve"> and </w:t>
      </w:r>
      <w:r>
        <w:rPr/>
        <w:fldChar w:fldCharType="begin"/>
      </w:r>
      <w:r>
        <w:rPr/>
        <w:instrText xml:space="preserve"> REF _Ref506283776 \r \r \h </w:instrText>
      </w:r>
      <w:r>
        <w:rPr/>
        <w:fldChar w:fldCharType="separate"/>
      </w:r>
      <w:r>
        <w:rPr/>
        <w:t>35</w:t>
      </w:r>
      <w:r>
        <w:rPr/>
        <w:fldChar w:fldCharType="end"/>
      </w:r>
      <w:r>
        <w:rPr/>
        <w:t xml:space="preserve"> shall survive the termination of the Contract and shall be deemed to be continuing obligations for the benefit of the parties.</w:t>
      </w:r>
    </w:p>
    <w:p>
      <w:pPr>
        <w:pStyle w:val="List"/>
        <w:numPr>
          <w:ilvl w:val="0"/>
          <w:numId w:val="4"/>
        </w:numPr>
        <w:spacing w:before="0" w:after="120"/>
        <w:ind w:hanging="0" w:start="0"/>
        <w:rPr/>
      </w:pPr>
      <w:r>
        <w:rPr>
          <w:b/>
        </w:rPr>
        <w:t>No Business Restrictions:</w:t>
      </w:r>
      <w:r>
        <w:rPr/>
        <w:t xml:space="preserve">  The Customer understands and acknowledges that Enron Direct and its affiliates participate, or may participate, in numerous aspects of the natural gas market under a variety of roles and with varying interests.  The Contract does not, in any way, preclude Enron Direct and its affiliates from pursuing any other business opportunities they may wish to pursue.</w:t>
      </w:r>
    </w:p>
    <w:p>
      <w:pPr>
        <w:pStyle w:val="List"/>
        <w:numPr>
          <w:ilvl w:val="0"/>
          <w:numId w:val="4"/>
        </w:numPr>
        <w:spacing w:before="0" w:after="120"/>
        <w:ind w:hanging="0" w:start="0"/>
        <w:rPr/>
      </w:pPr>
      <w:r>
        <w:rPr>
          <w:b/>
        </w:rPr>
        <w:t xml:space="preserve">No Waiver:  </w:t>
      </w:r>
      <w:r>
        <w:rPr/>
        <w:t>No delay or omission by either party in exercising any right, power or remedy under the Contract shall be construed as a waiver of such right, power or remedy and any single or partial exercise shall not prevent any other or further exercise of the same or the exercise of any other right, power or remedy.</w:t>
      </w:r>
    </w:p>
    <w:p>
      <w:pPr>
        <w:pStyle w:val="List"/>
        <w:numPr>
          <w:ilvl w:val="0"/>
          <w:numId w:val="4"/>
        </w:numPr>
        <w:spacing w:before="0" w:after="120"/>
        <w:ind w:hanging="0" w:start="0"/>
        <w:rPr/>
      </w:pPr>
      <w:r>
        <w:rPr>
          <w:b/>
        </w:rPr>
        <w:t xml:space="preserve">Severance of Invalid Provisions:  </w:t>
      </w:r>
      <w:r>
        <w:rPr/>
        <w:t>If and for so long as any provision of the Contract shall be deemed to be judged invalid for any reason whatsoever, such invalidity shall not affect the validity or operation of any other provision of the Contract except only so far as shall be necessary to give effect to the construction of such invalidity, and any such invalid provision shall be deemed to be severed from the Contract without affecting the validity of the balance of the Contract.</w:t>
      </w:r>
    </w:p>
    <w:p>
      <w:pPr>
        <w:pStyle w:val="List"/>
        <w:numPr>
          <w:ilvl w:val="0"/>
          <w:numId w:val="4"/>
        </w:numPr>
        <w:spacing w:before="0" w:after="120"/>
        <w:ind w:hanging="0" w:start="0"/>
        <w:rPr/>
      </w:pPr>
      <w:bookmarkStart w:id="23" w:name="_Ref506283776"/>
      <w:r>
        <w:rPr>
          <w:b/>
        </w:rPr>
        <w:t>Confidentiality:</w:t>
      </w:r>
      <w:r>
        <w:rPr/>
        <w:t xml:space="preserve">  The Customer shall not disclose the terms of any purchase and sale of natural gas under the Contract to a third party (other than the Customer’s employees, counsel, accountants or consultants who have agreed to keep such terms confidential) except in order to comply with any applicable law, order, regulation, exchange rule or to effectuate transportation of the natural gas hereunder; provided, the Customer shall notify Enron Direct of any proceeding of which the Customer is aware which may result in disclosure and use reasonable efforts to prevent or limit the disclosure.  Enron Direct shall be entitled to all remedies available at law or in equity to enforce, or seek relief in connection with, this confidentiality obligation.</w:t>
      </w:r>
      <w:bookmarkEnd w:id="23"/>
      <w:r>
        <w:rPr/>
        <w:t xml:space="preserve"> </w:t>
      </w:r>
    </w:p>
    <w:p>
      <w:pPr>
        <w:pStyle w:val="List"/>
        <w:numPr>
          <w:ilvl w:val="0"/>
          <w:numId w:val="4"/>
        </w:numPr>
        <w:spacing w:before="0" w:after="120"/>
        <w:ind w:hanging="0" w:start="0"/>
        <w:rPr>
          <w:b/>
        </w:rPr>
      </w:pPr>
      <w:r>
        <w:rPr>
          <w:b/>
        </w:rPr>
        <w:t xml:space="preserve">Entire Agreement:  </w:t>
      </w:r>
      <w:r>
        <w:rPr/>
        <w:t>The Contract contains the entire agreement between the Customer and Enron Direct concerning the supply and delivery of natural gas to the Service Address and it replaces any prior written or oral agreement between the parties concerning the supply or delivery of natural gas.  There are no verbal representations, rights or obligations that are not contained in the Contract.  The laws of Alberta and the laws of Canada applicable in Alberta shall govern the Contract.</w:t>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jc w:val="end"/>
        <w:rPr>
          <w:b/>
        </w:rPr>
      </w:pPr>
      <w:r>
        <w:rPr>
          <w:b/>
        </w:rPr>
      </w:r>
    </w:p>
    <w:p>
      <w:pPr>
        <w:pStyle w:val="List"/>
        <w:numPr>
          <w:ilvl w:val="0"/>
          <w:numId w:val="0"/>
        </w:numPr>
        <w:spacing w:before="0" w:after="120"/>
        <w:ind w:hanging="0" w:start="0"/>
        <w:rPr>
          <w:b/>
        </w:rPr>
      </w:pPr>
      <w:r>
        <w:rPr>
          <w:b/>
        </w:rPr>
      </w:r>
    </w:p>
    <w:p>
      <w:pPr>
        <w:pStyle w:val="List"/>
        <w:numPr>
          <w:ilvl w:val="0"/>
          <w:numId w:val="4"/>
        </w:numPr>
        <w:spacing w:before="0" w:after="120"/>
        <w:ind w:hanging="0" w:start="0"/>
        <w:rPr>
          <w:b/>
        </w:rPr>
      </w:pPr>
      <w:r>
        <w:rPr>
          <w:b/>
        </w:rPr>
        <w:t>Execution:</w:t>
      </w:r>
      <w:r>
        <w:rPr/>
        <w:t xml:space="preserve">  The Application and the Notice and Appointment of Agent may be executed in multiple counterparts and by facsimile transmission, each of which shall be deemed an original and all of which shall constitute one instrument</w:t>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sz w:val="20"/>
          <w:lang w:val="en-CA" w:eastAsia="en-CA"/>
        </w:rPr>
      </w:pPr>
      <w:r>
        <w:rPr>
          <w:b/>
          <w:sz w:val="20"/>
          <w:lang w:val="en-CA" w:eastAsia="en-CA"/>
        </w:rPr>
      </w:r>
      <w:r>
        <mc:AlternateContent>
          <mc:Choice Requires="wps">
            <w:drawing>
              <wp:anchor behindDoc="0" distT="0" distB="0" distL="114935" distR="114935" simplePos="0" locked="0" layoutInCell="1" allowOverlap="1" relativeHeight="9">
                <wp:simplePos x="0" y="0"/>
                <wp:positionH relativeFrom="column">
                  <wp:posOffset>1304290</wp:posOffset>
                </wp:positionH>
                <wp:positionV relativeFrom="paragraph">
                  <wp:posOffset>-2540</wp:posOffset>
                </wp:positionV>
                <wp:extent cx="1847850" cy="750570"/>
                <wp:effectExtent l="0" t="0" r="0" b="0"/>
                <wp:wrapNone/>
                <wp:docPr id="8" name="Frame8"/>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Footer"/>
                              <w:tabs>
                                <w:tab w:val="clear" w:pos="4320"/>
                                <w:tab w:val="clear" w:pos="8640"/>
                              </w:tabs>
                              <w:spacing w:before="0" w:after="0"/>
                              <w:rPr/>
                            </w:pPr>
                            <w:r>
                              <w:rPr/>
                              <w:t>Version:______      Page 8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0.2pt;mso-position-vertical-relative:text;margin-left:102.7pt;mso-position-horizontal-relative:text">
                <v:textbox>
                  <w:txbxContent>
                    <w:p>
                      <w:pPr>
                        <w:pStyle w:val="Footer"/>
                        <w:tabs>
                          <w:tab w:val="clear" w:pos="4320"/>
                          <w:tab w:val="clear" w:pos="8640"/>
                        </w:tabs>
                        <w:spacing w:before="0" w:after="0"/>
                        <w:rPr/>
                      </w:pPr>
                      <w:r>
                        <w:rPr/>
                        <w:t>Version:______      Page 8 of 8</w:t>
                      </w:r>
                    </w:p>
                    <w:p>
                      <w:pPr>
                        <w:pStyle w:val="Normal"/>
                        <w:spacing w:before="0" w:after="0"/>
                        <w:rPr/>
                      </w:pPr>
                      <w:r>
                        <w:rPr/>
                      </w:r>
                    </w:p>
                    <w:p>
                      <w:pPr>
                        <w:pStyle w:val="Normal"/>
                        <w:spacing w:before="0" w:after="0"/>
                        <w:rPr/>
                      </w:pPr>
                      <w:r>
                        <w:rPr/>
                        <w:t>________________________</w:t>
                      </w:r>
                    </w:p>
                    <w:p>
                      <w:pPr>
                        <w:pStyle w:val="Normal"/>
                        <w:spacing w:before="0" w:after="0"/>
                        <w:rPr/>
                      </w:pPr>
                      <w:r>
                        <w:rPr/>
                        <w:t>Customer Signature</w:t>
                      </w:r>
                    </w:p>
                  </w:txbxContent>
                </v:textbox>
                <w10:wrap type="none"/>
              </v:rect>
            </w:pict>
          </mc:Fallback>
        </mc:AlternateContent>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jc w:val="end"/>
        <w:rPr>
          <w:b/>
        </w:rPr>
      </w:pPr>
      <w:r>
        <w:rPr>
          <w:b/>
        </w:rPr>
      </w:r>
    </w:p>
    <w:p>
      <w:pPr>
        <w:pStyle w:val="List"/>
        <w:numPr>
          <w:ilvl w:val="0"/>
          <w:numId w:val="0"/>
        </w:numPr>
        <w:spacing w:before="0" w:after="120"/>
        <w:ind w:hanging="0" w:start="0"/>
        <w:rPr>
          <w:b/>
        </w:rPr>
      </w:pPr>
      <w:r>
        <w:rPr>
          <w:b/>
        </w:rPr>
      </w:r>
    </w:p>
    <w:p>
      <w:pPr>
        <w:pStyle w:val="List"/>
        <w:numPr>
          <w:ilvl w:val="0"/>
          <w:numId w:val="0"/>
        </w:numPr>
        <w:spacing w:before="0" w:after="120"/>
        <w:ind w:hanging="0" w:start="0"/>
        <w:rPr>
          <w:b/>
        </w:rPr>
      </w:pPr>
      <w:r>
        <w:rPr/>
        <w:t>.</w:t>
      </w:r>
    </w:p>
    <w:p>
      <w:pPr>
        <w:sectPr>
          <w:type w:val="continuous"/>
          <w:pgSz w:w="12240" w:h="15840"/>
          <w:pgMar w:left="374" w:right="389" w:gutter="0" w:header="0" w:top="432" w:footer="288" w:bottom="720"/>
          <w:cols w:num="2" w:space="288" w:equalWidth="true" w:sep="false"/>
          <w:formProt w:val="false"/>
          <w:textDirection w:val="lrTb"/>
          <w:docGrid w:type="default" w:linePitch="360" w:charSpace="0"/>
        </w:sectPr>
      </w:pPr>
    </w:p>
    <w:p>
      <w:pPr>
        <w:pStyle w:val="Normal"/>
        <w:spacing w:before="0" w:after="0"/>
        <w:jc w:val="center"/>
        <w:rPr>
          <w:b/>
          <w:bCs/>
        </w:rPr>
      </w:pPr>
      <w:r>
        <w:rPr>
          <w:b/>
          <w:bCs/>
        </w:rPr>
      </w:r>
    </w:p>
    <w:p>
      <w:pPr>
        <w:pStyle w:val="Normal"/>
        <w:spacing w:before="0" w:after="0"/>
        <w:jc w:val="center"/>
        <w:rPr>
          <w:b/>
          <w:bCs/>
        </w:rPr>
      </w:pPr>
      <w:r>
        <w:rPr>
          <w:b/>
          <w:bCs/>
        </w:rPr>
      </w:r>
    </w:p>
    <w:p>
      <w:pPr>
        <w:pStyle w:val="Normal"/>
        <w:spacing w:before="0" w:after="0"/>
        <w:jc w:val="center"/>
        <w:rPr>
          <w:b/>
          <w:bCs/>
        </w:rPr>
      </w:pPr>
      <w:r>
        <w:rPr>
          <w:b/>
          <w:bCs/>
        </w:rPr>
      </w:r>
    </w:p>
    <w:p>
      <w:pPr>
        <w:pStyle w:val="Normal"/>
        <w:spacing w:before="0" w:after="0"/>
        <w:jc w:val="end"/>
        <w:rPr>
          <w:b/>
          <w:bCs/>
        </w:rPr>
      </w:pPr>
      <w:r>
        <w:rPr>
          <w:b/>
          <w:bCs/>
        </w:rPr>
      </w:r>
    </w:p>
    <w:p>
      <w:pPr>
        <w:pStyle w:val="Normal"/>
        <w:spacing w:before="0" w:after="0"/>
        <w:jc w:val="center"/>
        <w:rPr>
          <w:b/>
          <w:bCs/>
        </w:rPr>
      </w:pPr>
      <w:r>
        <w:rPr>
          <w:b/>
          <w:bCs/>
        </w:rPr>
      </w:r>
    </w:p>
    <w:p>
      <w:pPr>
        <w:pStyle w:val="Normal"/>
        <w:spacing w:before="0" w:after="0"/>
        <w:jc w:val="center"/>
        <w:rPr>
          <w:b/>
          <w:bCs/>
        </w:rPr>
      </w:pPr>
      <w:r>
        <w:rPr>
          <w:b/>
          <w:bCs/>
        </w:rPr>
      </w:r>
    </w:p>
    <w:p>
      <w:pPr>
        <w:pStyle w:val="Normal"/>
        <w:spacing w:before="0" w:after="0"/>
        <w:jc w:val="center"/>
        <w:rPr>
          <w:b/>
          <w:bCs/>
        </w:rPr>
      </w:pPr>
      <w:r>
        <w:rPr>
          <w:b/>
          <w:bCs/>
        </w:rPr>
        <w:t>[NOTE:  THIS LETTER TO BE PREPARED AND DELIVERED UPON FULL</w:t>
      </w:r>
    </w:p>
    <w:p>
      <w:pPr>
        <w:pStyle w:val="Normal"/>
        <w:spacing w:before="0" w:after="0"/>
        <w:jc w:val="center"/>
        <w:rPr>
          <w:b/>
          <w:bCs/>
        </w:rPr>
      </w:pPr>
      <w:r>
        <w:rPr>
          <w:b/>
          <w:bCs/>
        </w:rPr>
        <w:t>EXECUTION OF THE CONTRACT.]</w:t>
      </w:r>
    </w:p>
    <w:p>
      <w:pPr>
        <w:pStyle w:val="Normal"/>
        <w:spacing w:before="0" w:after="0"/>
        <w:jc w:val="center"/>
        <w:rPr>
          <w:b/>
          <w:bCs/>
        </w:rPr>
      </w:pPr>
      <w:r>
        <w:rPr>
          <w:b/>
          <w:bCs/>
        </w:rPr>
      </w:r>
    </w:p>
    <w:p>
      <w:pPr>
        <w:pStyle w:val="Normal"/>
        <w:jc w:val="center"/>
        <w:rPr>
          <w:b/>
          <w:bCs/>
        </w:rPr>
      </w:pPr>
      <w:r>
        <w:rPr>
          <w:b/>
          <w:bCs/>
        </w:rPr>
        <w:t>[ENRON DIRECT LETTERHEAD]</w:t>
      </w:r>
    </w:p>
    <w:p>
      <w:pPr>
        <w:pStyle w:val="Normal"/>
        <w:rPr/>
      </w:pPr>
      <w:r>
        <w:rPr/>
      </w:r>
    </w:p>
    <w:p>
      <w:pPr>
        <w:pStyle w:val="Normal"/>
        <w:rPr>
          <w:b/>
          <w:bCs/>
        </w:rPr>
      </w:pPr>
      <w:r>
        <w:rPr>
          <w:b/>
          <w:bCs/>
        </w:rPr>
        <w:t>VIA FACSIMILE</w:t>
      </w:r>
    </w:p>
    <w:p>
      <w:pPr>
        <w:pStyle w:val="Normal"/>
        <w:rPr>
          <w:b/>
          <w:bCs/>
        </w:rPr>
      </w:pPr>
      <w:r>
        <w:rPr>
          <w:b/>
          <w:bCs/>
        </w:rPr>
        <w:t>[Insert Date]</w:t>
      </w:r>
    </w:p>
    <w:p>
      <w:pPr>
        <w:pStyle w:val="Normal"/>
        <w:rPr/>
      </w:pPr>
      <w:r>
        <w:rPr/>
      </w:r>
    </w:p>
    <w:p>
      <w:pPr>
        <w:pStyle w:val="Normal"/>
        <w:rPr/>
      </w:pPr>
      <w:r>
        <w:rPr/>
      </w:r>
    </w:p>
    <w:p>
      <w:pPr>
        <w:pStyle w:val="Normal"/>
        <w:spacing w:before="0" w:after="0"/>
        <w:rPr/>
      </w:pPr>
      <w:r>
        <w:rPr/>
        <w:t>ATCO Gas</w:t>
      </w:r>
    </w:p>
    <w:p>
      <w:pPr>
        <w:pStyle w:val="Normal"/>
        <w:spacing w:before="0" w:after="0"/>
        <w:rPr/>
      </w:pPr>
      <w:r>
        <w:rPr/>
        <w:t>10035-105</w:t>
      </w:r>
      <w:r>
        <w:rPr>
          <w:vertAlign w:val="superscript"/>
        </w:rPr>
        <w:t>th</w:t>
      </w:r>
      <w:r>
        <w:rPr/>
        <w:t xml:space="preserve"> Street</w:t>
      </w:r>
    </w:p>
    <w:p>
      <w:pPr>
        <w:pStyle w:val="Normal"/>
        <w:spacing w:before="0" w:after="0"/>
        <w:rPr/>
      </w:pPr>
      <w:r>
        <w:rPr/>
        <w:t>Edmonton, Alberta</w:t>
      </w:r>
    </w:p>
    <w:p>
      <w:pPr>
        <w:pStyle w:val="Normal"/>
        <w:spacing w:before="0" w:after="0"/>
        <w:rPr/>
      </w:pPr>
      <w:r>
        <w:rPr/>
        <w:t>T5J 2V6</w:t>
      </w:r>
    </w:p>
    <w:p>
      <w:pPr>
        <w:pStyle w:val="Normal"/>
        <w:spacing w:before="0" w:after="0"/>
        <w:rPr/>
      </w:pPr>
      <w:r>
        <w:rPr/>
      </w:r>
    </w:p>
    <w:p>
      <w:pPr>
        <w:pStyle w:val="Footer"/>
        <w:tabs>
          <w:tab w:val="clear" w:pos="4320"/>
          <w:tab w:val="clear" w:pos="8640"/>
          <w:tab w:val="left" w:pos="1080" w:leader="none"/>
        </w:tabs>
        <w:spacing w:before="0" w:after="0"/>
        <w:rPr/>
      </w:pPr>
      <w:r>
        <w:rPr/>
        <w:t>Attention:</w:t>
        <w:tab/>
        <w:t>Jennifer Bell, Analyst</w:t>
      </w:r>
    </w:p>
    <w:p>
      <w:pPr>
        <w:pStyle w:val="Footer"/>
        <w:tabs>
          <w:tab w:val="clear" w:pos="4320"/>
          <w:tab w:val="clear" w:pos="8640"/>
        </w:tabs>
        <w:spacing w:before="0" w:after="0"/>
        <w:rPr/>
      </w:pPr>
      <w:r>
        <w:rPr/>
      </w:r>
    </w:p>
    <w:p>
      <w:pPr>
        <w:pStyle w:val="Heading1"/>
        <w:numPr>
          <w:ilvl w:val="0"/>
          <w:numId w:val="0"/>
        </w:numPr>
        <w:spacing w:before="0" w:after="0"/>
        <w:ind w:hanging="0" w:start="0"/>
        <w:rPr/>
      </w:pPr>
      <w:r>
        <w:rPr/>
        <w:t>Dear Jennifer:</w:t>
      </w:r>
    </w:p>
    <w:p>
      <w:pPr>
        <w:pStyle w:val="Heading2"/>
        <w:numPr>
          <w:ilvl w:val="0"/>
          <w:numId w:val="0"/>
        </w:numPr>
        <w:tabs>
          <w:tab w:val="clear" w:pos="720"/>
          <w:tab w:val="left" w:pos="450" w:leader="none"/>
        </w:tabs>
        <w:spacing w:before="0" w:after="0"/>
        <w:ind w:hanging="0" w:start="-270" w:end="0"/>
        <w:rPr/>
      </w:pPr>
      <w:r>
        <w:rPr/>
      </w:r>
    </w:p>
    <w:p>
      <w:pPr>
        <w:pStyle w:val="Heading2"/>
        <w:numPr>
          <w:ilvl w:val="0"/>
          <w:numId w:val="0"/>
        </w:numPr>
        <w:tabs>
          <w:tab w:val="clear" w:pos="720"/>
          <w:tab w:val="left" w:pos="450" w:leader="none"/>
        </w:tabs>
        <w:spacing w:before="0" w:after="0"/>
        <w:ind w:hanging="0" w:start="0"/>
        <w:rPr>
          <w:b/>
        </w:rPr>
      </w:pPr>
      <w:r>
        <w:rPr>
          <w:b/>
        </w:rPr>
        <w:t>Re:</w:t>
        <w:tab/>
        <w:t>Notification Regarding the Switch of the Account of  [Insert Name of the Customer] (the “Customer”) to Rate 13</w:t>
      </w:r>
    </w:p>
    <w:p>
      <w:pPr>
        <w:pStyle w:val="Normal"/>
        <w:spacing w:before="0" w:after="0"/>
        <w:ind w:end="-360"/>
        <w:rPr>
          <w:b/>
        </w:rPr>
      </w:pPr>
      <w:r>
        <w:rPr>
          <w:b/>
        </w:rPr>
      </w:r>
    </w:p>
    <w:p>
      <w:pPr>
        <w:pStyle w:val="Normal"/>
        <w:spacing w:before="0" w:after="0"/>
        <w:rPr/>
      </w:pPr>
      <w:r>
        <w:rPr/>
        <w:t xml:space="preserve">Please switch the account(s) detailed in Schedule A from rate 3 to rate 13 for an effective date of </w:t>
      </w:r>
      <w:r>
        <w:rPr>
          <w:b/>
          <w:bCs/>
        </w:rPr>
        <w:t>[Insert anticipated Start Date].</w:t>
      </w:r>
      <w:r>
        <w:rPr/>
        <w:t xml:space="preserve">  Enron Direct Limited Partnership will be the retailer for this account.</w:t>
      </w:r>
    </w:p>
    <w:p>
      <w:pPr>
        <w:pStyle w:val="Normal"/>
        <w:spacing w:before="0" w:after="0"/>
        <w:rPr/>
      </w:pPr>
      <w:r>
        <w:rPr/>
      </w:r>
    </w:p>
    <w:p>
      <w:pPr>
        <w:pStyle w:val="Normal"/>
        <w:spacing w:before="0" w:after="0"/>
        <w:rPr/>
      </w:pPr>
      <w:r>
        <w:rPr/>
        <w:t>If you have any questions or concerns, please contact Kate Joslyn at our office at (403) 663-2801.  Thank you for your assistance with this matter.</w:t>
      </w:r>
    </w:p>
    <w:p>
      <w:pPr>
        <w:pStyle w:val="Footer"/>
        <w:tabs>
          <w:tab w:val="clear" w:pos="4320"/>
          <w:tab w:val="clear" w:pos="8640"/>
        </w:tabs>
        <w:spacing w:before="0" w:after="0"/>
        <w:rPr/>
      </w:pPr>
      <w:r>
        <w:rPr/>
      </w:r>
    </w:p>
    <w:p>
      <w:pPr>
        <w:pStyle w:val="Normal"/>
        <w:spacing w:before="0" w:after="0"/>
        <w:rPr/>
      </w:pPr>
      <w:r>
        <w:rPr/>
        <w:t>Sincerely,</w:t>
      </w:r>
    </w:p>
    <w:p>
      <w:pPr>
        <w:pStyle w:val="Footer"/>
        <w:tabs>
          <w:tab w:val="clear" w:pos="4320"/>
          <w:tab w:val="clear" w:pos="8640"/>
        </w:tabs>
        <w:spacing w:before="0" w:after="0"/>
        <w:rPr/>
      </w:pPr>
      <w:r>
        <w:rPr/>
      </w:r>
    </w:p>
    <w:p>
      <w:pPr>
        <w:pStyle w:val="Normal"/>
        <w:spacing w:before="0" w:after="0"/>
        <w:rPr>
          <w:b/>
          <w:bCs/>
        </w:rPr>
      </w:pPr>
      <w:r>
        <w:rPr>
          <w:b/>
          <w:bCs/>
        </w:rPr>
        <w:t>ENRON DIRECT LIMITED PARTNERSHIP</w:t>
      </w:r>
    </w:p>
    <w:p>
      <w:pPr>
        <w:pStyle w:val="Normal"/>
        <w:spacing w:before="0" w:after="0"/>
        <w:rPr>
          <w:b/>
          <w:bCs/>
        </w:rPr>
      </w:pPr>
      <w:r>
        <w:rPr>
          <w:b/>
          <w:bCs/>
        </w:rPr>
      </w:r>
    </w:p>
    <w:p>
      <w:pPr>
        <w:pStyle w:val="Normal"/>
        <w:spacing w:before="0" w:after="0"/>
        <w:rPr>
          <w:b/>
          <w:bCs/>
        </w:rPr>
      </w:pPr>
      <w:r>
        <w:rPr>
          <w:b/>
          <w:bCs/>
        </w:rPr>
      </w:r>
    </w:p>
    <w:p>
      <w:pPr>
        <w:pStyle w:val="Heading1"/>
        <w:numPr>
          <w:ilvl w:val="0"/>
          <w:numId w:val="0"/>
        </w:numPr>
        <w:spacing w:before="0" w:after="0"/>
        <w:ind w:hanging="0" w:start="0"/>
        <w:rPr>
          <w:b/>
          <w:bCs/>
        </w:rPr>
      </w:pPr>
      <w:r>
        <w:rPr>
          <w:b/>
          <w:bCs/>
        </w:rPr>
      </w:r>
    </w:p>
    <w:p>
      <w:pPr>
        <w:pStyle w:val="Normal"/>
        <w:spacing w:before="0" w:after="0"/>
        <w:rPr/>
      </w:pPr>
      <w:r>
        <w:rPr/>
        <w:t>Darren Cross</w:t>
      </w:r>
    </w:p>
    <w:p>
      <w:pPr>
        <w:pStyle w:val="Footer"/>
        <w:tabs>
          <w:tab w:val="clear" w:pos="4320"/>
          <w:tab w:val="clear" w:pos="8640"/>
        </w:tabs>
        <w:spacing w:before="0" w:after="0"/>
        <w:rPr/>
      </w:pPr>
      <w:r>
        <w:rPr/>
        <w:t>Chief Operating Officer of the general</w:t>
      </w:r>
    </w:p>
    <w:p>
      <w:pPr>
        <w:pStyle w:val="Footer"/>
        <w:tabs>
          <w:tab w:val="clear" w:pos="4320"/>
          <w:tab w:val="clear" w:pos="8640"/>
        </w:tabs>
        <w:spacing w:before="0" w:after="0"/>
        <w:rPr/>
      </w:pPr>
      <w:r>
        <w:rPr/>
        <w:t>partner, Enron Direct Canada Corp.</w:t>
      </w:r>
    </w:p>
    <w:p>
      <w:pPr>
        <w:pStyle w:val="Normal"/>
        <w:rPr/>
      </w:pPr>
      <w:r>
        <w:rPr/>
      </w:r>
    </w:p>
    <w:p>
      <w:pPr>
        <w:pStyle w:val="Normal"/>
        <w:rPr>
          <w:b/>
          <w:bCs/>
        </w:rPr>
      </w:pPr>
      <w:r>
        <w:rPr>
          <w:b/>
          <w:bCs/>
        </w:rPr>
      </w:r>
    </w:p>
    <w:p>
      <w:pPr>
        <w:pStyle w:val="Footer"/>
        <w:tabs>
          <w:tab w:val="clear" w:pos="4320"/>
          <w:tab w:val="clear" w:pos="8640"/>
        </w:tabs>
        <w:spacing w:before="0" w:after="240"/>
        <w:rPr>
          <w:b/>
          <w:bCs/>
        </w:rPr>
      </w:pPr>
      <w:r>
        <w:rPr>
          <w:b/>
          <w:bCs/>
        </w:rPr>
      </w:r>
    </w:p>
    <w:sectPr>
      <w:footerReference w:type="defaul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spacing w:before="0" w:after="0"/>
      <w:jc w:val="center"/>
      <w:rPr>
        <w:rStyle w:val="PageNumber"/>
      </w:rPr>
    </w:pPr>
    <w:r>
      <w:rPr/>
    </w:r>
  </w:p>
  <w:p>
    <w:pPr>
      <w:pStyle w:val="Footer"/>
      <w:spacing w:before="0" w:after="0"/>
      <w:jc w:val="start"/>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/mnt/main-storage/datasets/enron-docs/doc/ENRON____Large_Commercial__Application_for_Natural_Gas_Supply_v27.doc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Normal"/>
      <w:widowControl/>
      <w:bidi w:val="0"/>
      <w:spacing w:before="0" w:after="240"/>
      <w:jc w:val="both"/>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/mnt/main-storage/datasets/enron-docs/doc/ENRON____Large_Commercial__Application_for_Natural_Gas_Supply_v27.doc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Normal"/>
      <w:widowControl/>
      <w:bidi w:val="0"/>
      <w:spacing w:before="0" w:after="240"/>
      <w:jc w:val="both"/>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/mnt/main-storage/datasets/enron-docs/doc/ENRON____Large_Commercial__Application_for_Natural_Gas_Supply_v27.doc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kern w:val="0"/>
      </w:rPr>
    </w:pPr>
    <w:r>
      <w:rPr>
        <w:rStyle w:val="PageNumber"/>
        <w:kern w:val="0"/>
      </w:rPr>
      <w:fldChar w:fldCharType="begin"/>
    </w:r>
    <w:r>
      <w:rPr>
        <w:rStyle w:val="PageNumber"/>
        <w:kern w:val="0"/>
      </w:rPr>
      <w:instrText xml:space="preserve"> PAGE </w:instrText>
    </w:r>
    <w:r>
      <w:rPr>
        <w:rStyle w:val="PageNumber"/>
        <w:kern w:val="0"/>
      </w:rPr>
      <w:fldChar w:fldCharType="separate"/>
    </w:r>
    <w:r>
      <w:rPr>
        <w:rStyle w:val="PageNumber"/>
        <w:kern w:val="0"/>
      </w:rPr>
      <w:t>4</w:t>
    </w:r>
    <w:r>
      <w:rPr>
        <w:rStyle w:val="PageNumber"/>
        <w:kern w:val="0"/>
      </w:rPr>
      <w:fldChar w:fldCharType="end"/>
    </w:r>
  </w:p>
  <w:p>
    <w:pPr>
      <w:pStyle w:val="DocID"/>
      <w:jc w:val="center"/>
      <w:rPr>
        <w:rStyle w:val="PageNumber"/>
        <w:rFonts w:ascii="Arial" w:hAnsi="Arial" w:cs="Arial"/>
        <w:kern w:val="0"/>
        <w:sz w:val="18"/>
      </w:rPr>
    </w:pPr>
    <w:r>
      <w:rPr/>
    </w:r>
  </w:p>
  <w:p>
    <w:pPr>
      <w:pStyle w:val="DocID"/>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/mnt/main-storage/datasets/enron-docs/doc/ENRON____Large_Commercial__Application_for_Natural_Gas_Supply_v27.doc</w:t>
    </w:r>
    <w:r>
      <w:rPr>
        <w:sz w:val="12"/>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/mnt/main-storage/datasets/enron-docs/doc/ENRON____Large_Commercial__Application_for_Natural_Gas_Supply_v27.doc</w:t>
    </w:r>
    <w:r>
      <w:rPr>
        <w:sz w:val="12"/>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Fonts w:ascii="Times New Roman" w:hAnsi="Times New Roman" w:cs="Times New Roman"/>
      </w:rPr>
    </w:lvl>
    <w:lvl w:ilvl="1">
      <w:start w:val="1"/>
      <w:pStyle w:val="Heading2"/>
      <w:numFmt w:val="lowerLetter"/>
      <w:lvlText w:val="(%2)"/>
      <w:lvlJc w:val="start"/>
      <w:pPr>
        <w:tabs>
          <w:tab w:val="num" w:pos="1440"/>
        </w:tabs>
        <w:ind w:start="1440" w:hanging="720"/>
      </w:pPr>
      <w:rPr>
        <w:sz w:val="20"/>
        <w:rFonts w:ascii="Times New Roman" w:hAnsi="Times New Roman" w:cs="Times New Roman"/>
      </w:rPr>
    </w:lvl>
    <w:lvl w:ilvl="2">
      <w:start w:val="1"/>
      <w:pStyle w:val="Heading3"/>
      <w:numFmt w:val="lowerRoman"/>
      <w:lvlText w:val="(%3)"/>
      <w:lvlJc w:val="start"/>
      <w:pPr>
        <w:tabs>
          <w:tab w:val="num" w:pos="2160"/>
        </w:tabs>
        <w:ind w:start="2160" w:hanging="720"/>
      </w:pPr>
    </w:lvl>
    <w:lvl w:ilvl="3">
      <w:start w:val="1"/>
      <w:pStyle w:val="Heading4"/>
      <w:numFmt w:val="upperLetter"/>
      <w:lvlText w:val="%4."/>
      <w:lvlJc w:val="start"/>
      <w:pPr>
        <w:tabs>
          <w:tab w:val="num" w:pos="2880"/>
        </w:tabs>
        <w:ind w:start="2880" w:hanging="720"/>
      </w:pPr>
    </w:lvl>
    <w:lvl w:ilvl="4">
      <w:start w:val="1"/>
      <w:pStyle w:val="Heading5"/>
      <w:numFmt w:val="upperRoman"/>
      <w:lvlText w:val="%5."/>
      <w:lvlJc w:val="start"/>
      <w:pPr>
        <w:tabs>
          <w:tab w:val="num" w:pos="3600"/>
        </w:tabs>
        <w:ind w:start="3600" w:hanging="720"/>
      </w:pPr>
    </w:lvl>
    <w:lvl w:ilvl="5">
      <w:start w:val="1"/>
      <w:pStyle w:val="Heading6"/>
      <w:numFmt w:val="decimal"/>
      <w:lvlText w:val="(%6)"/>
      <w:lvlJc w:val="start"/>
      <w:pPr>
        <w:tabs>
          <w:tab w:val="num" w:pos="4320"/>
        </w:tabs>
        <w:ind w:start="4320" w:hanging="720"/>
      </w:pPr>
    </w:lvl>
    <w:lvl w:ilvl="6">
      <w:start w:val="1"/>
      <w:pStyle w:val="Heading7"/>
      <w:numFmt w:val="lowerLetter"/>
      <w:lvlText w:val="%7."/>
      <w:lvlJc w:val="start"/>
      <w:pPr>
        <w:tabs>
          <w:tab w:val="num" w:pos="5040"/>
        </w:tabs>
        <w:ind w:start="5040" w:hanging="720"/>
      </w:pPr>
    </w:lvl>
    <w:lvl w:ilvl="7">
      <w:start w:val="1"/>
      <w:pStyle w:val="Heading8"/>
      <w:numFmt w:val="lowerRoman"/>
      <w:lvlText w:val="%8."/>
      <w:lvlJc w:val="start"/>
      <w:pPr>
        <w:tabs>
          <w:tab w:val="num" w:pos="5760"/>
        </w:tabs>
        <w:ind w:start="5760" w:hanging="720"/>
      </w:pPr>
    </w:lvl>
    <w:lvl w:ilvl="8">
      <w:start w:val="1"/>
      <w:pStyle w:val="Heading9"/>
      <w:numFmt w:val="decimal"/>
      <w:lvlText w:val="%9."/>
      <w:lvlJc w:val="start"/>
      <w:pPr>
        <w:tabs>
          <w:tab w:val="num" w:pos="6480"/>
        </w:tabs>
        <w:ind w:start="6480" w:hanging="72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lowerLetter"/>
      <w:lvlText w:val="(%1)"/>
      <w:lvlJc w:val="start"/>
      <w:pPr>
        <w:tabs>
          <w:tab w:val="num" w:pos="1440"/>
        </w:tabs>
        <w:ind w:start="1440" w:hanging="720"/>
      </w:pPr>
      <w:rPr>
        <w:sz w:val="14"/>
        <w:i w:val="false"/>
        <w:b w:val="false"/>
      </w:rPr>
    </w:lvl>
  </w:abstractNum>
  <w:abstractNum w:abstractNumId="4">
    <w:lvl w:ilvl="0">
      <w:start w:val="1"/>
      <w:numFmt w:val="decimal"/>
      <w:lvlText w:val="%1."/>
      <w:lvlJc w:val="start"/>
      <w:pPr>
        <w:tabs>
          <w:tab w:val="num" w:pos="360"/>
        </w:tabs>
        <w:ind w:start="0" w:hanging="0"/>
      </w:pPr>
      <w:rPr>
        <w:sz w:val="14"/>
        <w:i w:val="false"/>
        <w:b w:val="false"/>
      </w:r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decimal"/>
      <w:lvlText w:val="%1."/>
      <w:lvlJc w:val="start"/>
      <w:pPr>
        <w:tabs>
          <w:tab w:val="num" w:pos="360"/>
        </w:tabs>
        <w:ind w:start="0" w:hanging="0"/>
      </w:pPr>
    </w:lvl>
    <w:lvl w:ilvl="1">
      <w:start w:val="1"/>
      <w:numFmt w:val="upperLetter"/>
      <w:lvlText w:val="%2."/>
      <w:lvlJc w:val="start"/>
      <w:pPr>
        <w:tabs>
          <w:tab w:val="num" w:pos="360"/>
        </w:tabs>
        <w:ind w:start="0" w:hanging="0"/>
      </w:pPr>
      <w:rPr>
        <w:i w:val="false"/>
        <w:b/>
      </w:rPr>
    </w:lvl>
    <w:lvl w:ilvl="2">
      <w:start w:val="1"/>
      <w:numFmt w:val="lowerLetter"/>
      <w:lvlText w:val="(%3)"/>
      <w:lvlJc w:val="start"/>
      <w:pPr>
        <w:tabs>
          <w:tab w:val="num" w:pos="360"/>
        </w:tabs>
        <w:ind w:start="360" w:hanging="360"/>
      </w:pPr>
    </w:lvl>
    <w:lvl w:ilvl="3">
      <w:start w:val="1"/>
      <w:numFmt w:val="lowerRoman"/>
      <w:lvlText w:val="(%4)"/>
      <w:lvlJc w:val="start"/>
      <w:pPr>
        <w:tabs>
          <w:tab w:val="num" w:pos="1080"/>
        </w:tabs>
        <w:ind w:start="72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360"/>
        </w:tabs>
        <w:ind w:start="0" w:hanging="0"/>
      </w:pPr>
    </w:lvl>
    <w:lvl w:ilvl="1">
      <w:start w:val="1"/>
      <w:numFmt w:val="upperLetter"/>
      <w:lvlText w:val="%2."/>
      <w:lvlJc w:val="start"/>
      <w:pPr>
        <w:tabs>
          <w:tab w:val="num" w:pos="360"/>
        </w:tabs>
        <w:ind w:start="0" w:hanging="0"/>
      </w:pPr>
      <w:rPr>
        <w:i w:val="false"/>
        <w:b/>
      </w:rPr>
    </w:lvl>
    <w:lvl w:ilvl="2">
      <w:start w:val="4"/>
      <w:numFmt w:val="lowerLetter"/>
      <w:lvlText w:val="(%3)"/>
      <w:lvlJc w:val="start"/>
      <w:pPr>
        <w:tabs>
          <w:tab w:val="num" w:pos="360"/>
        </w:tabs>
        <w:ind w:start="360" w:hanging="360"/>
      </w:pPr>
    </w:lvl>
    <w:lvl w:ilvl="3">
      <w:start w:val="1"/>
      <w:numFmt w:val="lowerRoman"/>
      <w:lvlText w:val="(%4)"/>
      <w:lvlJc w:val="start"/>
      <w:pPr>
        <w:tabs>
          <w:tab w:val="num" w:pos="1080"/>
        </w:tabs>
        <w:ind w:start="72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6"/>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6z0">
    <w:name w:val="WW8Num6z0"/>
    <w:qFormat/>
    <w:rPr/>
  </w:style>
  <w:style w:type="character" w:styleId="WW8Num8z0">
    <w:name w:val="WW8Num8z0"/>
    <w:qFormat/>
    <w:rPr/>
  </w:style>
  <w:style w:type="character" w:styleId="WW8Num9z0">
    <w:name w:val="WW8Num9z0"/>
    <w:qFormat/>
    <w:rPr>
      <w:b w:val="false"/>
      <w:i w:val="false"/>
      <w:sz w:val="14"/>
    </w:rPr>
  </w:style>
  <w:style w:type="character" w:styleId="WW8Num10z0">
    <w:name w:val="WW8Num10z0"/>
    <w:qFormat/>
    <w:rPr>
      <w:b w:val="false"/>
      <w:i w:val="false"/>
      <w:sz w:val="14"/>
    </w:rPr>
  </w:style>
  <w:style w:type="character" w:styleId="WW8Num12z0">
    <w:name w:val="WW8Num12z0"/>
    <w:qFormat/>
    <w:rPr>
      <w:b/>
      <w:i w:val="false"/>
      <w:caps/>
      <w:strike w:val="false"/>
      <w:dstrike w:val="false"/>
      <w:outline w:val="false"/>
      <w:shadow w:val="false"/>
      <w:vanish w:val="false"/>
      <w:color w:val="auto"/>
      <w:position w:val="0"/>
      <w:sz w:val="24"/>
      <w:u w:val="none"/>
      <w:vertAlign w:val="baseline"/>
    </w:rPr>
  </w:style>
  <w:style w:type="character" w:styleId="WW8Num12z1">
    <w:name w:val="WW8Num12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2z2">
    <w:name w:val="WW8Num12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style>
  <w:style w:type="character" w:styleId="WW8Num17z0">
    <w:name w:val="WW8Num17z0"/>
    <w:qFormat/>
    <w:rPr/>
  </w:style>
  <w:style w:type="character" w:styleId="WW8Num18z0">
    <w:name w:val="WW8Num18z0"/>
    <w:qFormat/>
    <w:rPr>
      <w:b w:val="false"/>
      <w:i w:val="false"/>
      <w:sz w:val="14"/>
    </w:rPr>
  </w:style>
  <w:style w:type="character" w:styleId="WW8Num20z1">
    <w:name w:val="WW8Num20z1"/>
    <w:qFormat/>
    <w:rPr>
      <w:b/>
      <w:i w:val="false"/>
    </w:rPr>
  </w:style>
  <w:style w:type="character" w:styleId="WW8Num21z0">
    <w:name w:val="WW8Num21z0"/>
    <w:qFormat/>
    <w:rPr>
      <w:b w:val="false"/>
      <w:i w:val="false"/>
      <w:sz w:val="20"/>
    </w:rPr>
  </w:style>
  <w:style w:type="character" w:styleId="WW8Num22z0">
    <w:name w:val="WW8Num22z0"/>
    <w:qFormat/>
    <w:rPr/>
  </w:style>
  <w:style w:type="character" w:styleId="WW8Num23z0">
    <w:name w:val="WW8Num23z0"/>
    <w:qFormat/>
    <w:rPr>
      <w:rFonts w:ascii="Times New Roman" w:hAnsi="Times New Roman" w:cs="Times New Roman"/>
      <w:b w:val="false"/>
      <w:i w:val="false"/>
      <w:sz w:val="24"/>
    </w:rPr>
  </w:style>
  <w:style w:type="character" w:styleId="WW8Num23z1">
    <w:name w:val="WW8Num23z1"/>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rFonts w:ascii="Arial" w:hAnsi="Arial" w:cs="Arial"/>
      <w:sz w:val="18"/>
    </w:rPr>
  </w:style>
  <w:style w:type="paragraph" w:styleId="Heading">
    <w:name w:val="Heading"/>
    <w:basedOn w:val="Normal"/>
    <w:next w:val="BodyText"/>
    <w:qFormat/>
    <w:pPr>
      <w:spacing w:before="0" w:after="0"/>
      <w:jc w:val="center"/>
    </w:pPr>
    <w:rPr>
      <w:b/>
      <w:sz w:val="24"/>
      <w:u w:val="single"/>
    </w:rPr>
  </w:style>
  <w:style w:type="paragraph" w:styleId="BodyText">
    <w:name w:val="Body Text"/>
    <w:basedOn w:val="Normal"/>
    <w:pPr/>
    <w:rPr/>
  </w:style>
  <w:style w:type="paragraph" w:styleId="List">
    <w:name w:val="List"/>
    <w:basedOn w:val="Normal"/>
    <w:pPr>
      <w:numPr>
        <w:ilvl w:val="0"/>
        <w:numId w:val="4"/>
      </w:numPr>
    </w:pPr>
    <w:rPr>
      <w:sz w:val="1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Style11">
    <w:name w:val="Style1"/>
    <w:basedOn w:val="Heading4"/>
    <w:qFormat/>
    <w:pPr>
      <w:numPr>
        <w:ilvl w:val="0"/>
        <w:numId w:val="5"/>
      </w:numPr>
      <w:tabs>
        <w:tab w:val="left" w:pos="720" w:leader="none"/>
      </w:tabs>
      <w:spacing w:lineRule="auto" w:line="360" w:before="0" w:after="0"/>
      <w:outlineLvl w:val="9"/>
    </w:pPr>
    <w:rPr/>
  </w:style>
  <w:style w:type="paragraph" w:styleId="Index1">
    <w:name w:val="index 1"/>
    <w:basedOn w:val="Normal"/>
    <w:next w:val="Normal"/>
    <w:pPr>
      <w:tabs>
        <w:tab w:val="clear" w:pos="720"/>
        <w:tab w:val="right" w:pos="9090" w:leader="none"/>
      </w:tabs>
      <w:jc w:val="center"/>
    </w:pPr>
    <w:rPr>
      <w:sz w:val="20"/>
    </w:rPr>
  </w:style>
  <w:style w:type="paragraph" w:styleId="ListBullet2">
    <w:name w:val="List Bullet 2"/>
    <w:basedOn w:val="Normal"/>
    <w:pPr>
      <w:numPr>
        <w:ilvl w:val="0"/>
        <w:numId w:val="3"/>
      </w:numPr>
      <w:tabs>
        <w:tab w:val="left" w:pos="720" w:leader="none"/>
      </w:tabs>
    </w:pPr>
    <w:rPr>
      <w:sz w:val="20"/>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suppressLineNumbers/>
      <w:spacing w:before="0" w:after="0"/>
      <w:jc w:val="start"/>
    </w:pPr>
    <w:rPr>
      <w:kern w:val="2"/>
      <w:sz w:val="16"/>
    </w:rPr>
  </w:style>
  <w:style w:type="paragraph" w:styleId="Header">
    <w:name w:val="header"/>
    <w:basedOn w:val="Normal"/>
    <w:pPr>
      <w:tabs>
        <w:tab w:val="clear" w:pos="720"/>
        <w:tab w:val="center" w:pos="4320" w:leader="none"/>
        <w:tab w:val="right" w:pos="8640" w:leader="none"/>
      </w:tabs>
    </w:pPr>
    <w:rPr/>
  </w:style>
  <w:style w:type="paragraph" w:styleId="Style21">
    <w:name w:val="Style 2"/>
    <w:basedOn w:val="List"/>
    <w:qFormat/>
    <w:pPr>
      <w:numPr>
        <w:ilvl w:val="0"/>
        <w:numId w:val="6"/>
      </w:numPr>
      <w:spacing w:before="0" w:after="150"/>
    </w:pPr>
    <w:rPr>
      <w:sz w:val="14"/>
    </w:rPr>
  </w:style>
  <w:style w:type="paragraph" w:styleId="Style31">
    <w:name w:val="Style 3"/>
    <w:basedOn w:val="Normal"/>
    <w:qFormat/>
    <w:pPr>
      <w:keepNext w:val="true"/>
      <w:numPr>
        <w:ilvl w:val="0"/>
        <w:numId w:val="6"/>
      </w:numPr>
      <w:spacing w:before="0" w:after="150"/>
    </w:pPr>
    <w:rPr>
      <w:b/>
      <w:sz w:val="14"/>
    </w:rPr>
  </w:style>
  <w:style w:type="paragraph" w:styleId="Style41">
    <w:name w:val="Style 4"/>
    <w:basedOn w:val="Normal"/>
    <w:qFormat/>
    <w:pPr>
      <w:numPr>
        <w:ilvl w:val="0"/>
        <w:numId w:val="6"/>
      </w:numPr>
      <w:spacing w:before="0" w:after="150"/>
    </w:pPr>
    <w:rPr>
      <w:sz w:val="14"/>
    </w:rPr>
  </w:style>
  <w:style w:type="paragraph" w:styleId="Style5">
    <w:name w:val="Style 5"/>
    <w:basedOn w:val="Normal"/>
    <w:qFormat/>
    <w:pPr>
      <w:numPr>
        <w:ilvl w:val="0"/>
        <w:numId w:val="6"/>
      </w:numPr>
      <w:tabs>
        <w:tab w:val="left" w:pos="720" w:leader="none"/>
      </w:tabs>
      <w:spacing w:before="0" w:after="150"/>
    </w:pPr>
    <w:rPr>
      <w:sz w:val="14"/>
    </w:rPr>
  </w:style>
  <w:style w:type="paragraph" w:styleId="BodyText2">
    <w:name w:val="Body Text 2"/>
    <w:basedOn w:val="Normal"/>
    <w:qFormat/>
    <w:pPr>
      <w:spacing w:before="0" w:after="0"/>
      <w:jc w:val="center"/>
    </w:pPr>
    <w:rPr>
      <w:b/>
      <w:u w:val="single"/>
    </w:rPr>
  </w:style>
  <w:style w:type="paragraph" w:styleId="BodyTextIndent">
    <w:name w:val="Body Text Indent"/>
    <w:basedOn w:val="Normal"/>
    <w:pPr>
      <w:ind w:hanging="720" w:start="720" w:end="0"/>
    </w:pPr>
    <w:rPr>
      <w: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2001-06-18T18:35:00Z</dcterms:created>
  <dc:creator>mcraetodd</dc:creator>
  <dc:description/>
  <dc:language>en-CA</dc:language>
  <cp:lastModifiedBy>mark powell</cp:lastModifiedBy>
  <cp:lastPrinted>2001-06-18T15:06:00Z</cp:lastPrinted>
  <dcterms:modified xsi:type="dcterms:W3CDTF">2001-06-20T13:46:00Z</dcterms:modified>
  <cp:revision>4</cp:revision>
  <dc:subject/>
  <dc:title>APPLICATION FOR NATURAL GAS SUPPLY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#136213 v6</vt:lpwstr>
  </property>
</Properties>
</file>