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Logo"/>
      <w:bookmarkEnd w:id="0"/>
      <w:r>
        <w:drawing>
          <wp:anchor behindDoc="1" distT="0" distB="0" distL="0" distR="0" simplePos="0" locked="0" layoutInCell="1" allowOverlap="1" relativeHeight="2">
            <wp:simplePos x="0" y="0"/>
            <wp:positionH relativeFrom="column">
              <wp:posOffset>5023485</wp:posOffset>
            </wp:positionH>
            <wp:positionV relativeFrom="paragraph">
              <wp:posOffset>-182880</wp:posOffset>
            </wp:positionV>
            <wp:extent cx="1194435" cy="1191260"/>
            <wp:effectExtent l="0" t="0" r="0" b="0"/>
            <wp:wrapNone/>
            <wp:docPr id="1" name="Bph3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h300" descr="" title=""/>
                    <pic:cNvPicPr>
                      <a:picLocks noChangeAspect="1" noChangeArrowheads="1"/>
                    </pic:cNvPicPr>
                  </pic:nvPicPr>
                  <pic:blipFill>
                    <a:blip r:embed="rId2"/>
                    <a:srcRect l="-10" t="-10" r="-10" b="-10"/>
                    <a:stretch>
                      <a:fillRect/>
                    </a:stretch>
                  </pic:blipFill>
                  <pic:spPr bwMode="auto">
                    <a:xfrm>
                      <a:off x="0" y="0"/>
                      <a:ext cx="1194435" cy="1191260"/>
                    </a:xfrm>
                    <a:prstGeom prst="rect">
                      <a:avLst/>
                    </a:prstGeom>
                    <a:noFill/>
                  </pic:spPr>
                </pic:pic>
              </a:graphicData>
            </a:graphic>
          </wp:anchor>
        </w:drawing>
      </w:r>
      <w:r>
        <w:rPr/>
        <w:t>MEMORANDUM</w:t>
      </w:r>
    </w:p>
    <w:tbl>
      <w:tblPr>
        <w:tblW w:w="9565" w:type="dxa"/>
        <w:jc w:val="start"/>
        <w:tblInd w:w="0" w:type="dxa"/>
        <w:tblLayout w:type="fixed"/>
        <w:tblCellMar>
          <w:top w:w="0" w:type="dxa"/>
          <w:start w:w="108" w:type="dxa"/>
          <w:bottom w:w="0" w:type="dxa"/>
          <w:end w:w="108" w:type="dxa"/>
        </w:tblCellMar>
      </w:tblPr>
      <w:tblGrid>
        <w:gridCol w:w="1458"/>
        <w:gridCol w:w="6390"/>
        <w:gridCol w:w="1717"/>
      </w:tblGrid>
      <w:tr>
        <w:trPr/>
        <w:tc>
          <w:tcPr>
            <w:tcW w:w="1458" w:type="dxa"/>
            <w:tcBorders/>
          </w:tcPr>
          <w:p>
            <w:pPr>
              <w:pStyle w:val="MessageHeader"/>
              <w:spacing w:before="0" w:after="240"/>
              <w:rPr/>
            </w:pPr>
            <w:r>
              <w:rPr/>
              <w:t>TO:</w:t>
            </w:r>
          </w:p>
        </w:tc>
        <w:tc>
          <w:tcPr>
            <w:tcW w:w="6390" w:type="dxa"/>
            <w:tcBorders/>
          </w:tcPr>
          <w:p>
            <w:pPr>
              <w:pStyle w:val="MessageHeader"/>
              <w:spacing w:before="0" w:after="240"/>
              <w:rPr/>
            </w:pPr>
            <w:r>
              <w:rPr/>
              <w:t>Defense Counsel</w:t>
            </w:r>
          </w:p>
        </w:tc>
        <w:tc>
          <w:tcPr>
            <w:tcW w:w="1717" w:type="dxa"/>
            <w:tcBorders/>
            <w:tcMar>
              <w:start w:w="0" w:type="dxa"/>
              <w:end w:w="0" w:type="dxa"/>
            </w:tcMar>
          </w:tcPr>
          <w:p>
            <w:pPr>
              <w:pStyle w:val="Normal"/>
              <w:snapToGrid w:val="false"/>
              <w:rPr/>
            </w:pPr>
            <w:r>
              <w:rPr/>
            </w:r>
          </w:p>
        </w:tc>
      </w:tr>
      <w:tr>
        <w:trPr/>
        <w:tc>
          <w:tcPr>
            <w:tcW w:w="1458" w:type="dxa"/>
            <w:tcBorders/>
          </w:tcPr>
          <w:p>
            <w:pPr>
              <w:pStyle w:val="MessageHeader"/>
              <w:spacing w:before="0" w:after="240"/>
              <w:rPr>
                <w:b w:val="false"/>
              </w:rPr>
            </w:pPr>
            <w:r>
              <w:rPr/>
              <w:t>FROM:</w:t>
            </w:r>
          </w:p>
        </w:tc>
        <w:tc>
          <w:tcPr>
            <w:tcW w:w="6390" w:type="dxa"/>
            <w:tcBorders/>
          </w:tcPr>
          <w:p>
            <w:pPr>
              <w:pStyle w:val="MessageHeader"/>
              <w:spacing w:before="0" w:after="240"/>
              <w:rPr>
                <w:caps/>
              </w:rPr>
            </w:pPr>
            <w:r>
              <w:rPr/>
              <w:t>Michael E. Molland</w:t>
            </w:r>
          </w:p>
        </w:tc>
        <w:tc>
          <w:tcPr>
            <w:tcW w:w="1717" w:type="dxa"/>
            <w:tcBorders/>
            <w:tcMar>
              <w:start w:w="0" w:type="dxa"/>
              <w:end w:w="0" w:type="dxa"/>
            </w:tcMar>
          </w:tcPr>
          <w:p>
            <w:pPr>
              <w:pStyle w:val="Normal"/>
              <w:snapToGrid w:val="false"/>
              <w:rPr>
                <w:caps/>
              </w:rPr>
            </w:pPr>
            <w:r>
              <w:rPr>
                <w:caps/>
              </w:rPr>
            </w:r>
          </w:p>
        </w:tc>
      </w:tr>
      <w:tr>
        <w:trPr/>
        <w:tc>
          <w:tcPr>
            <w:tcW w:w="1458" w:type="dxa"/>
            <w:tcBorders/>
          </w:tcPr>
          <w:p>
            <w:pPr>
              <w:pStyle w:val="MessageHeader"/>
              <w:spacing w:before="0" w:after="240"/>
              <w:rPr>
                <w:b w:val="false"/>
              </w:rPr>
            </w:pPr>
            <w:r>
              <w:rPr/>
              <w:t>SUBJECT:</w:t>
            </w:r>
          </w:p>
        </w:tc>
        <w:tc>
          <w:tcPr>
            <w:tcW w:w="8107" w:type="dxa"/>
            <w:gridSpan w:val="2"/>
            <w:tcBorders/>
          </w:tcPr>
          <w:p>
            <w:pPr>
              <w:pStyle w:val="MessageHeader"/>
              <w:spacing w:before="0" w:after="240"/>
              <w:rPr>
                <w:caps/>
              </w:rPr>
            </w:pPr>
            <w:bookmarkStart w:id="1" w:name="Subject"/>
            <w:r>
              <w:rPr/>
              <w:t xml:space="preserve">Removal of </w:t>
            </w:r>
            <w:r>
              <w:rPr>
                <w:i/>
              </w:rPr>
              <w:t xml:space="preserve">People of the State of California v. Dynegy Power Marketing, et al., </w:t>
            </w:r>
            <w:r>
              <w:rPr/>
              <w:t>San Francisco Superior Court, Case</w:t>
            </w:r>
            <w:bookmarkEnd w:id="1"/>
            <w:r>
              <w:rPr/>
              <w:t xml:space="preserve"> No. 318189</w:t>
            </w:r>
          </w:p>
        </w:tc>
      </w:tr>
      <w:tr>
        <w:trPr/>
        <w:tc>
          <w:tcPr>
            <w:tcW w:w="1458" w:type="dxa"/>
            <w:tcBorders>
              <w:bottom w:val="single" w:sz="4" w:space="0" w:color="000000"/>
            </w:tcBorders>
          </w:tcPr>
          <w:p>
            <w:pPr>
              <w:pStyle w:val="MessageHeader"/>
              <w:spacing w:before="0" w:after="240"/>
              <w:rPr/>
            </w:pPr>
            <w:r>
              <w:rPr/>
              <w:t>DATE:</w:t>
            </w:r>
          </w:p>
        </w:tc>
        <w:tc>
          <w:tcPr>
            <w:tcW w:w="8107" w:type="dxa"/>
            <w:gridSpan w:val="2"/>
            <w:tcBorders>
              <w:bottom w:val="single" w:sz="4" w:space="0" w:color="000000"/>
            </w:tcBorders>
          </w:tcPr>
          <w:p>
            <w:pPr>
              <w:pStyle w:val="MessageHeader"/>
              <w:spacing w:before="0" w:after="240"/>
              <w:rPr>
                <w:caps/>
              </w:rPr>
            </w:pPr>
            <w:bookmarkStart w:id="2" w:name="Date"/>
            <w:r>
              <w:rPr/>
              <w:t>January 30, 2001</w:t>
            </w:r>
            <w:bookmarkEnd w:id="2"/>
          </w:p>
        </w:tc>
      </w:tr>
    </w:tbl>
    <w:p>
      <w:pPr>
        <w:pStyle w:val="Normal"/>
        <w:tabs>
          <w:tab w:val="clear" w:pos="720"/>
          <w:tab w:val="left" w:pos="1980" w:leader="none"/>
        </w:tabs>
        <w:spacing w:lineRule="exact" w:line="80" w:before="0" w:after="560"/>
        <w:ind w:end="-450"/>
        <w:rPr>
          <w:sz w:val="22"/>
          <w:lang w:val="en-CA"/>
        </w:rPr>
      </w:pPr>
      <w:r>
        <w:rPr>
          <w:sz w:val="22"/>
          <w:lang w:val="en-CA"/>
        </w:rPr>
      </w:r>
    </w:p>
    <w:p>
      <w:pPr>
        <w:pStyle w:val="Heading1"/>
        <w:ind w:hanging="0" w:start="0"/>
        <w:rPr/>
      </w:pPr>
      <w:bookmarkStart w:id="3" w:name="BodyStart"/>
      <w:bookmarkEnd w:id="3"/>
      <w:r>
        <w:rPr/>
        <w:t>Introduction.</w:t>
      </w:r>
    </w:p>
    <w:p>
      <w:pPr>
        <w:pStyle w:val="BodyText"/>
        <w:rPr/>
      </w:pPr>
      <w:r>
        <w:rPr/>
        <w:t xml:space="preserve">We have been asked to analyze issues related to the removal to federal court of </w:t>
      </w:r>
      <w:r>
        <w:rPr>
          <w:i/>
        </w:rPr>
        <w:t xml:space="preserve">People of the State of California v. Dynegy Power Marketing, et al., </w:t>
      </w:r>
      <w:r>
        <w:rPr/>
        <w:t xml:space="preserve">San Francisco Superior Court, Case No. 318189 (the “San Francisco Case”).  This memorandum analyzes only those issues that are unique to the San Francisco Case, and is intended to build on, and not duplicate, the work done with regard to the </w:t>
      </w:r>
      <w:r>
        <w:rPr>
          <w:i/>
        </w:rPr>
        <w:t xml:space="preserve">Gordon </w:t>
      </w:r>
      <w:r>
        <w:rPr/>
        <w:t xml:space="preserve">and </w:t>
      </w:r>
      <w:r>
        <w:rPr>
          <w:i/>
        </w:rPr>
        <w:t xml:space="preserve">Hendricks </w:t>
      </w:r>
      <w:r>
        <w:rPr/>
        <w:t xml:space="preserve">cases.    </w:t>
      </w:r>
    </w:p>
    <w:p>
      <w:pPr>
        <w:pStyle w:val="BodyText"/>
        <w:rPr/>
      </w:pPr>
      <w:r>
        <w:rPr/>
        <w:t xml:space="preserve">In fact, the two causes of action alleged in the San Francisco Case are </w:t>
      </w:r>
      <w:r>
        <w:rPr>
          <w:u w:val="single"/>
        </w:rPr>
        <w:t>identical</w:t>
      </w:r>
      <w:r>
        <w:rPr/>
        <w:t xml:space="preserve"> to the allegations in the Second and Third Causes of Action in </w:t>
      </w:r>
      <w:r>
        <w:rPr>
          <w:i/>
        </w:rPr>
        <w:t>Hendricks</w:t>
      </w:r>
      <w:r>
        <w:rPr/>
        <w:t>.</w:t>
      </w:r>
      <w:r>
        <w:rPr>
          <w:rStyle w:val="FootnoteCharacters"/>
          <w:rStyle w:val="FootnoteReference"/>
        </w:rPr>
        <w:footnoteReference w:id="2"/>
      </w:r>
      <w:r>
        <w:rPr/>
        <w:t xml:space="preserve">  The San Francisco Case is brought by the San Francisco City Attorney on behalf of the People of the State of California.  The complaint alleges two cause of actions, both of which arise under California Business and Professions Code section 17200.  </w:t>
      </w:r>
    </w:p>
    <w:p>
      <w:pPr>
        <w:pStyle w:val="BodyText"/>
        <w:rPr/>
      </w:pPr>
      <w:r>
        <w:rPr/>
        <w:t xml:space="preserve">First, the complaint alleges that “Defendants’ violation of the Cartwright Act, by engaging in acts and practices which constitute anti-competitive practices, also violates Business and Professions Code § 17200’s proscription against engaging in unlawful business acts and practices.” </w:t>
      </w:r>
    </w:p>
    <w:p>
      <w:pPr>
        <w:pStyle w:val="BodyText"/>
        <w:rPr/>
      </w:pPr>
      <w:r>
        <w:rPr/>
        <w:t>Second, the complaint alleges that the acts and conduct of Defendants constitute “unfair” practices “in that their conduct is immoral, unscrupulous or offends public policy, and as the gravity of the conduct detailed in the complaint outweighs any benefits attributable to such conduct.”  This second cause of action also alleges that this conduct is “unfair” under section 17200 because it “threatens an incipient violation of an antitrust law, or violates the policy or spirit of one of these laws because its effects are comparable or the same as a violation of the law, or otherwise significantly threatens or harms competition.”</w:t>
      </w:r>
    </w:p>
    <w:p>
      <w:pPr>
        <w:pStyle w:val="BodyText"/>
        <w:rPr/>
      </w:pPr>
      <w:r>
        <w:rPr/>
        <w:t xml:space="preserve">There are two material differences between </w:t>
      </w:r>
      <w:r>
        <w:rPr>
          <w:i/>
        </w:rPr>
        <w:t xml:space="preserve">Hendricks </w:t>
      </w:r>
      <w:r>
        <w:rPr/>
        <w:t xml:space="preserve">and the San Francisco Case:  the San Francisco Case has no separate cause of action under the Cartwright Act and the San Francisco Case was brought on behalf of the People of the State of California.   </w:t>
      </w:r>
    </w:p>
    <w:p>
      <w:pPr>
        <w:pStyle w:val="BodyText"/>
        <w:rPr/>
      </w:pPr>
      <w:r>
        <w:rPr/>
        <w:t xml:space="preserve">With these two difference in mind, this memorandum briefly analyzes the following issues pertaining to the removal of this case:  </w:t>
      </w:r>
    </w:p>
    <w:p>
      <w:pPr>
        <w:pStyle w:val="BodyText"/>
        <w:rPr/>
      </w:pPr>
      <w:r>
        <w:rPr/>
        <w:t xml:space="preserve">(1)  Whether case law imposes any additional obstacles (other than those considered in earlier defense counsel memorandum on the subject) to the removal of a complaint alleging </w:t>
      </w:r>
      <w:r>
        <w:rPr>
          <w:u w:val="single"/>
        </w:rPr>
        <w:t>only</w:t>
      </w:r>
      <w:r>
        <w:rPr/>
        <w:t xml:space="preserve"> causes of action under Business and Professions Code section 17200;</w:t>
      </w:r>
      <w:r>
        <w:rPr>
          <w:rStyle w:val="FootnoteCharacters"/>
          <w:rStyle w:val="FootnoteReference"/>
          <w:lang w:eastAsia="en-US"/>
        </w:rPr>
        <w:footnoteReference w:id="3"/>
      </w:r>
      <w:r>
        <w:rPr>
          <w:lang w:eastAsia="en-US"/>
        </w:rPr>
        <w:t xml:space="preserve"> </w:t>
      </w:r>
      <w:r>
        <w:rPr/>
        <w:t xml:space="preserve"> </w:t>
      </w:r>
    </w:p>
    <w:p>
      <w:pPr>
        <w:pStyle w:val="BodyText"/>
        <w:rPr/>
      </w:pPr>
      <w:r>
        <w:rPr/>
        <w:t>(2)  Whether the Eleventh Amendment of the United States Constitution bars removal of this case due to fact that plaintiffs claim to bring it on behalf of the People of the State of California; and</w:t>
      </w:r>
    </w:p>
    <w:p>
      <w:pPr>
        <w:pStyle w:val="BodyText"/>
        <w:rPr/>
      </w:pPr>
      <w:r>
        <w:rPr/>
        <w:t>(3)  Whether Defendants, if removal is unsuccessful, may later file a motion for change of venue under California Code of Civil Procedure section 394(a).</w:t>
      </w:r>
    </w:p>
    <w:p>
      <w:pPr>
        <w:pStyle w:val="BodyText"/>
        <w:rPr>
          <w:lang w:eastAsia="en-US"/>
        </w:rPr>
      </w:pPr>
      <w:r>
        <w:rPr/>
        <w:t>Each of these is discussed below.</w:t>
      </w:r>
    </w:p>
    <w:p>
      <w:pPr>
        <w:pStyle w:val="Heading1"/>
        <w:numPr>
          <w:ilvl w:val="0"/>
          <w:numId w:val="6"/>
        </w:numPr>
        <w:ind w:hanging="0" w:start="0"/>
        <w:rPr>
          <w:lang w:eastAsia="en-US"/>
        </w:rPr>
      </w:pPr>
      <w:r>
        <w:rPr>
          <w:lang w:eastAsia="en-US"/>
        </w:rPr>
        <w:t>Removal of Complaint ONLY AlLeging 17200 Causes of Action.</w:t>
      </w:r>
    </w:p>
    <w:p>
      <w:pPr>
        <w:pStyle w:val="BodyText"/>
        <w:ind w:hanging="0" w:end="0"/>
        <w:rPr/>
      </w:pPr>
      <w:r>
        <w:rPr>
          <w:u w:val="single"/>
        </w:rPr>
        <w:t>Conclusion</w:t>
      </w:r>
      <w:r>
        <w:rPr/>
        <w:t xml:space="preserve">:  The causes of action in this case are identical to causes of action Two and Three in </w:t>
      </w:r>
      <w:r>
        <w:rPr>
          <w:i/>
        </w:rPr>
        <w:t>Hendricks</w:t>
      </w:r>
      <w:r>
        <w:rPr/>
        <w:t xml:space="preserve">.  Thus to the extent that removal of 17200 claims in </w:t>
      </w:r>
      <w:r>
        <w:rPr>
          <w:i/>
        </w:rPr>
        <w:t>Hendricks</w:t>
      </w:r>
      <w:r>
        <w:rPr/>
        <w:t xml:space="preserve"> is proper under either complete preemption or federal question grounds, it should also be proper here.   </w:t>
      </w:r>
    </w:p>
    <w:p>
      <w:pPr>
        <w:pStyle w:val="BodyText"/>
        <w:rPr/>
      </w:pPr>
      <w:r>
        <w:rPr/>
        <w:t xml:space="preserve">Building upon the work done in analyzing the removal of </w:t>
      </w:r>
      <w:r>
        <w:rPr>
          <w:i/>
        </w:rPr>
        <w:t xml:space="preserve">Hendricks </w:t>
      </w:r>
      <w:r>
        <w:rPr/>
        <w:t xml:space="preserve">and </w:t>
      </w:r>
      <w:r>
        <w:rPr>
          <w:i/>
        </w:rPr>
        <w:t>Gordon</w:t>
      </w:r>
      <w:r>
        <w:rPr/>
        <w:t xml:space="preserve">, we have reviewed the principal cases which discuss the propriety of removal of 17200 cases.  </w:t>
      </w:r>
      <w:r>
        <w:rPr>
          <w:lang w:eastAsia="en-US"/>
        </w:rPr>
        <w:t xml:space="preserve">Based upon the reasoning of these cases, to successfully remove the San Francisco Case on the basis of complete preemption, defendants probably must show here, based upon the nature of plaintiffs complaint, that (1) the Federal Power Act created an exclusive scheme to govern the reasonableness of the wholesale electricity rates which form the basis of plaintiff’s allegations and (2) the 17200 claims plead by plaintiff, since they ultimately depend on proof that these rates were unlawfully manipulated or fixed, cannot be resolved without interpreting the reasonableness of these rates.  Keying off the notice of removal filed in </w:t>
      </w:r>
      <w:r>
        <w:rPr>
          <w:i/>
          <w:lang w:eastAsia="en-US"/>
        </w:rPr>
        <w:t>Hendricks</w:t>
      </w:r>
      <w:r>
        <w:rPr>
          <w:lang w:eastAsia="en-US"/>
        </w:rPr>
        <w:t>, we attach a notice of removal which cites the portions of plaintiff’s complaint that show the 17200 causes of action turn on such proof.</w:t>
      </w:r>
    </w:p>
    <w:p>
      <w:pPr>
        <w:pStyle w:val="BodyText"/>
        <w:ind w:hanging="0" w:end="0"/>
        <w:rPr/>
      </w:pPr>
      <w:r>
        <w:rPr>
          <w:u w:val="single"/>
        </w:rPr>
        <w:t>Analysis</w:t>
      </w:r>
      <w:r>
        <w:rPr/>
        <w:t>:  We reviewed 17200 cases which were removed either on the grounds that they (1) stated a federal question or (2) were completely preempted.  Our analysis of each category of cases follows.</w:t>
      </w:r>
    </w:p>
    <w:p>
      <w:pPr>
        <w:pStyle w:val="Heading2"/>
        <w:ind w:hanging="0" w:start="0"/>
        <w:rPr>
          <w:lang w:eastAsia="en-US"/>
        </w:rPr>
      </w:pPr>
      <w:r>
        <w:rPr>
          <w:lang w:eastAsia="en-US"/>
        </w:rPr>
        <w:t>Removal on Federal Question Grounds.</w:t>
      </w:r>
    </w:p>
    <w:p>
      <w:pPr>
        <w:pStyle w:val="BodyText"/>
        <w:rPr/>
      </w:pPr>
      <w:r>
        <w:rPr>
          <w:lang w:eastAsia="en-US"/>
        </w:rPr>
        <w:t xml:space="preserve">We have found only one case in which removal on federal question grounds was upheld.  In general, for the removal of a 17200 cause of action under federal question jurisdiction to be upheld, the court must find that a federal statute applies to the “nature” of plaintiffs’ complaint </w:t>
      </w:r>
      <w:r>
        <w:rPr>
          <w:u w:val="single"/>
          <w:lang w:eastAsia="en-US"/>
        </w:rPr>
        <w:t>and</w:t>
      </w:r>
      <w:r>
        <w:rPr>
          <w:lang w:eastAsia="en-US"/>
        </w:rPr>
        <w:t xml:space="preserve"> that the interpretation of the federal statute is necessary to plaintiff’s 17200 cause of action.  </w:t>
      </w:r>
    </w:p>
    <w:p>
      <w:pPr>
        <w:pStyle w:val="BodyText"/>
        <w:rPr/>
      </w:pPr>
      <w:r>
        <w:rPr>
          <w:lang w:eastAsia="en-US"/>
        </w:rPr>
        <w:t xml:space="preserve">In </w:t>
      </w:r>
      <w:r>
        <w:rPr>
          <w:i/>
          <w:lang w:eastAsia="en-US"/>
        </w:rPr>
        <w:t xml:space="preserve">Schroeder v. Trans World Airlines, Inc., </w:t>
      </w:r>
      <w:r>
        <w:rPr>
          <w:lang w:eastAsia="en-US"/>
        </w:rPr>
        <w:t>702 F.2d 189 (9th Cir. 1983), plaintiffs, employees of TWA, were demoted.  They filed complaints under 17200, alleging that defendant’s business practices were unlawful because they were “not provided for nor authorized” by the bargaining agreement.  Defendants removed on federal question grounds.  The Court upheld removal.  According to the Court, “jurisdiction based upon the presence of a federal question may not be evident from the language of the complaint.”  The Court, looking beyond the language of the complaint, stated that the “nature” of plaintiffs’ complaint was a dispute which was covered by the bargaining agreement.  The Railway Labor Act applied to this agreement.  Because the Railway Labor Act applied to the interpretation of this agreement, and its interpretation was necessary to a determination of plaintiff’s cause of action, the Court held that a federal question was an essential element of plaintiffs’ cause of action and provided the basis for removal.</w:t>
      </w:r>
    </w:p>
    <w:p>
      <w:pPr>
        <w:pStyle w:val="BodyText"/>
        <w:rPr/>
      </w:pPr>
      <w:r>
        <w:rPr>
          <w:lang w:eastAsia="en-US"/>
        </w:rPr>
        <w:t xml:space="preserve">Other cases, applying the same analysis, remanded based upon a determination the complaint stated no federal question.  In </w:t>
      </w:r>
      <w:r>
        <w:rPr>
          <w:i/>
          <w:lang w:eastAsia="en-US"/>
        </w:rPr>
        <w:t xml:space="preserve">Mangini v. RJ Reynolds Tobacco Co., </w:t>
      </w:r>
      <w:r>
        <w:rPr>
          <w:lang w:eastAsia="en-US"/>
        </w:rPr>
        <w:t xml:space="preserve">793 F. Supp. 925 (N.D. Cal. 1992), plaintiff brought a complaint against a tobacco company under 17200, alleging that advertisements “violate the Fed. Cigarette Labeling and Advertising Act and constitute an unlawful and unfair business practice under 17200.”  Defendant removed.  The court disagreed, holding that removal was improper because there was no federal question and that the Labeling Act did not provide a private right of action.  The Labeling Act violation was only one element of the cause of action.  “If federal law does not provide a private right of action, then a state law action based on its violation perforce does not raise a ‘substantial’ federal question.”  </w:t>
      </w:r>
      <w:r>
        <w:rPr>
          <w:i/>
          <w:lang w:eastAsia="en-US"/>
        </w:rPr>
        <w:t xml:space="preserve">Id. </w:t>
      </w:r>
      <w:r>
        <w:rPr>
          <w:lang w:eastAsia="en-US"/>
        </w:rPr>
        <w:t xml:space="preserve">at 927 (quoting </w:t>
      </w:r>
      <w:r>
        <w:rPr>
          <w:i/>
          <w:lang w:eastAsia="en-US"/>
        </w:rPr>
        <w:t xml:space="preserve">Utley v. Varian Associates, Inc., </w:t>
      </w:r>
      <w:r>
        <w:rPr>
          <w:lang w:eastAsia="en-US"/>
        </w:rPr>
        <w:t xml:space="preserve">811 F.2d 1279, 1283 (9th Cir. 1987)).  </w:t>
      </w:r>
    </w:p>
    <w:p>
      <w:pPr>
        <w:pStyle w:val="BodyText"/>
        <w:rPr/>
      </w:pPr>
      <w:r>
        <w:rPr>
          <w:lang w:eastAsia="en-US"/>
        </w:rPr>
        <w:t xml:space="preserve">Likewise, in </w:t>
      </w:r>
      <w:r>
        <w:rPr>
          <w:i/>
          <w:lang w:eastAsia="en-US"/>
        </w:rPr>
        <w:t>Castro v. Providian Nat’l Bank</w:t>
      </w:r>
      <w:r>
        <w:rPr>
          <w:lang w:eastAsia="en-US"/>
        </w:rPr>
        <w:t>, 2000 U.S. Dist. LEXIS 19062 (N.D. Cal. 2001), plaintiff brought a 17200 action claiming that defendant’s business practices were unlawful, and in briefs filed with the court, suggested that defendant’s acts violated the Truth in Lending Act.  Defendants removed.  The Court remanded.  According to the Court, plaintiffs plead and intended to prove that the unlawful prong of section 17200 was supported by violations of state law as well, and so the Truth in Lending Act was not a necessary element for a finding of liability under the state law at issue.  The Court held that plaintiff’s 17200 cause of action “does not necessarily depend upon a question of federal law.”</w:t>
      </w:r>
    </w:p>
    <w:p>
      <w:pPr>
        <w:pStyle w:val="BodyText"/>
        <w:rPr/>
      </w:pPr>
      <w:r>
        <w:rPr>
          <w:i/>
          <w:lang w:eastAsia="en-US"/>
        </w:rPr>
        <w:t xml:space="preserve">Schwartz v. Visa Int’l Corp, </w:t>
      </w:r>
      <w:r>
        <w:rPr>
          <w:lang w:eastAsia="en-US"/>
        </w:rPr>
        <w:t xml:space="preserve">2001 U.S. Dist. LEXIS 105 (N.D. Cal. 2001) has a virtually identical fact pattern to </w:t>
      </w:r>
      <w:r>
        <w:rPr>
          <w:i/>
          <w:lang w:eastAsia="en-US"/>
        </w:rPr>
        <w:t>Castro</w:t>
      </w:r>
      <w:r>
        <w:rPr>
          <w:lang w:eastAsia="en-US"/>
        </w:rPr>
        <w:t xml:space="preserve">.  Plaintiff alleged that defendants’ practices were unlawful under 17200 because they violated the Truth in Lending Act, the Cartwright Act and the Sherman Act.  Defendants removed.  The Court remanded because plaintiff did not raise any independent federal claims.  “Defendants’ position would be viable only if section 17200 could not be predicated on the violation of federal law,” but this was not the case.  </w:t>
      </w:r>
      <w:r>
        <w:rPr>
          <w:i/>
          <w:lang w:eastAsia="en-US"/>
        </w:rPr>
        <w:t xml:space="preserve">See also Johnson v. Circuit City Stores, Inc., </w:t>
      </w:r>
      <w:r>
        <w:rPr>
          <w:lang w:eastAsia="en-US"/>
        </w:rPr>
        <w:t xml:space="preserve">71 F. Supp 2d. 1026 (N.D. Cal. 1999) (remanding 17200 alleging that defendants failed to disclose material information regarding Y2K compliance because Y2K Act did not create a federal cause of action).  </w:t>
      </w:r>
    </w:p>
    <w:p>
      <w:pPr>
        <w:pStyle w:val="BodyText"/>
        <w:rPr/>
      </w:pPr>
      <w:r>
        <w:rPr>
          <w:lang w:eastAsia="en-US"/>
        </w:rPr>
        <w:t xml:space="preserve">Based upon the reasoning of these cases, and on the reasoning of defense counsel who previously looked at this issue in connection with removal in </w:t>
      </w:r>
      <w:r>
        <w:rPr>
          <w:i/>
        </w:rPr>
        <w:t xml:space="preserve">Hendricks </w:t>
      </w:r>
      <w:r>
        <w:rPr/>
        <w:t xml:space="preserve">and </w:t>
      </w:r>
      <w:r>
        <w:rPr>
          <w:i/>
        </w:rPr>
        <w:t>Gordon</w:t>
      </w:r>
      <w:r>
        <w:rPr>
          <w:lang w:eastAsia="en-US"/>
        </w:rPr>
        <w:t>, to successfully remove this case based upon federal question jurisdiction, Defendants must show that (1) the Federal Power Act applies to the “nature” of plaintiff’s complaint and (2) the interpretation of the Federal Power Act is an essential element of plaintiff’s cause of action.</w:t>
      </w:r>
    </w:p>
    <w:p>
      <w:pPr>
        <w:pStyle w:val="Heading2"/>
        <w:ind w:hanging="0" w:start="0"/>
        <w:rPr/>
      </w:pPr>
      <w:r>
        <w:rPr/>
        <w:t xml:space="preserve">Removal on Federal Preemption Grounds.  </w:t>
      </w:r>
    </w:p>
    <w:p>
      <w:pPr>
        <w:pStyle w:val="BodyText"/>
        <w:rPr>
          <w:lang w:eastAsia="en-US"/>
        </w:rPr>
      </w:pPr>
      <w:r>
        <w:rPr>
          <w:lang w:eastAsia="en-US"/>
        </w:rPr>
        <w:t>We have found no 17200 cases which have upheld removal based upon complete preemption grounds.  There are several cases, however, involving 17200 causes of action that were removed on preemption grounds, and which were subsequently remanded.  The reasoning of these cases is discussed below.</w:t>
      </w:r>
    </w:p>
    <w:p>
      <w:pPr>
        <w:pStyle w:val="BodyText"/>
        <w:rPr>
          <w:lang w:eastAsia="en-US"/>
        </w:rPr>
      </w:pPr>
      <w:r>
        <w:rPr>
          <w:lang w:eastAsia="en-US"/>
        </w:rPr>
        <w:t xml:space="preserve">These cases suggest that in order for removal to be upheld on complete preemption grounds, (1) a federal statute must totally occupy an area of regulation as intended by Congress and (2) plaintiff’s 17200 cause of action must seek to remedy acts that come within this area of legislation.  </w:t>
      </w:r>
    </w:p>
    <w:p>
      <w:pPr>
        <w:pStyle w:val="BodyText"/>
        <w:rPr/>
      </w:pPr>
      <w:r>
        <w:rPr/>
        <w:t xml:space="preserve">In </w:t>
      </w:r>
      <w:r>
        <w:rPr>
          <w:i/>
        </w:rPr>
        <w:t>Associated Builders &amp; Contractors, Inc., v. Local 302 International Brotherhood of Electrical Workers,</w:t>
      </w:r>
      <w:r>
        <w:rPr/>
        <w:t xml:space="preserve"> 109 F.3d 1353 (9th Cir. 1996), plaintiff challenged defendants’ “job targeting programs” under which unions would use members’ dues to subsidize selected contractors’ bids for construction projects.  Plaintiff alleged a violation of 17200 in that these programs constituted unfair competition and allowed “kickbacks” to employers in contravention of California wage statutes.  Defendants removed, claiming that this action was preempted by the Labor Management Relations Act.  The district court rejected plaintiff’s remand motion, and the Ninth Circuit reversed.  According to the Ninth Circuit, the LMRA preempted only laws that purport to interpret labor agreements, to ascertain legal consequences of breaches of these agreements, and to tort lawsuits arising from breaches of duties from these agreement.  The Court held that the causes of action here are not preempted because the 17200 claims can be resolved without interpreting these agreements and the only controversy concerned the legality of the agreements.   </w:t>
      </w:r>
    </w:p>
    <w:p>
      <w:pPr>
        <w:pStyle w:val="BodyText"/>
        <w:rPr/>
      </w:pPr>
      <w:r>
        <w:rPr/>
        <w:t xml:space="preserve">In </w:t>
      </w:r>
      <w:r>
        <w:rPr>
          <w:i/>
        </w:rPr>
        <w:t xml:space="preserve">Boyle v. MTV Networks, Inc., </w:t>
      </w:r>
      <w:r>
        <w:rPr/>
        <w:t xml:space="preserve">766 F. Supp. 809 (N.D. Cal 1991), plaintiffs brought a complaint under 17200 alleging that defendants participated in games of chance which are illegal under the penal code.  Defendants removed on the basis that that the Federal Communications Act completely preempted the lawsuit.  The court noted that the complete preemption has been found only in limited circumstances, i.e., by §301 of the LMRA and under ERISA.  The Court applied a three-pronged approach as set forth by the Supreme Court in </w:t>
      </w:r>
      <w:r>
        <w:rPr>
          <w:i/>
        </w:rPr>
        <w:t>Metropolitan Life Insurance Co. v. Taylor</w:t>
      </w:r>
      <w:r>
        <w:rPr/>
        <w:t xml:space="preserve">, 481 U.S. 58 (1987) and </w:t>
      </w:r>
      <w:r>
        <w:rPr>
          <w:i/>
        </w:rPr>
        <w:t>Caterpillar, Inc. v. Williams</w:t>
      </w:r>
      <w:r>
        <w:rPr/>
        <w:t xml:space="preserve">, 482 U.S. 386 (1987):  (1) the federal statute contains a jurisdictional statement similar to §301 of the LMRA; (2) Congress has clearly manifested its intent to make causes of action removable; and (3) the state law claim falls within the scope of the civil enforcement statute.  Based upon this analysis, the Court remanded, holding that “Plaintiff’s state law causes of action are all premised on Defendants’ participation in unfair business practices as defined by the California Business and Professions Code, not on Defendants’ discrimination, whether unreasonable or otherwise” as prohibited by the FCA.  </w:t>
      </w:r>
      <w:r>
        <w:rPr>
          <w:i/>
        </w:rPr>
        <w:t xml:space="preserve">See also Dead Kennedys v. Biafra, </w:t>
      </w:r>
      <w:r>
        <w:rPr/>
        <w:t>37 F. Supp. 2d 1151 (N.D. Cal. 1999) (remanding case, holding no preemption under the Copyright Act because “the unfair business practices claim focuses on self-dealing with respect to promotional activities and failure to pay; the claim does not attempt to mimic an infringement by claiming unfair use of the works at issue).</w:t>
      </w:r>
    </w:p>
    <w:p>
      <w:pPr>
        <w:pStyle w:val="BodyText"/>
        <w:rPr/>
      </w:pPr>
      <w:r>
        <w:rPr>
          <w:lang w:eastAsia="en-US"/>
        </w:rPr>
        <w:t xml:space="preserve">Based upon the reasoning of the above cases, and on the reasoning of defense counsel who previously looked at this issue in connection with removal in </w:t>
      </w:r>
      <w:r>
        <w:rPr>
          <w:i/>
        </w:rPr>
        <w:t xml:space="preserve">Hendricks </w:t>
      </w:r>
      <w:r>
        <w:rPr/>
        <w:t xml:space="preserve">and </w:t>
      </w:r>
      <w:r>
        <w:rPr>
          <w:i/>
        </w:rPr>
        <w:t>Gordon</w:t>
      </w:r>
      <w:r>
        <w:rPr>
          <w:lang w:eastAsia="en-US"/>
        </w:rPr>
        <w:t>, to successfully remove the San Francisco Case on the basis of complete preemption, defendants probably must show here, based upon the nature of plaintiffs complaint, that (1) the Federal Power Act created an exclusive scheme to govern the reasonableness of the wholesale electricity rates which form the basis of plaintiff’s allegations and (2) the 17200 claims plead by plaintiff, since they ultimately depend on proof that these rates were unlawfully manipulated or fixed, cannot be resolved without interpreting the reasonableness of these rates.</w:t>
      </w:r>
      <w:r>
        <w:rPr>
          <w:rStyle w:val="FootnoteCharacters"/>
          <w:rStyle w:val="FootnoteReference"/>
          <w:lang w:eastAsia="en-US"/>
        </w:rPr>
        <w:footnoteReference w:id="4"/>
      </w:r>
      <w:r>
        <w:rPr>
          <w:lang w:eastAsia="en-US"/>
        </w:rPr>
        <w:t xml:space="preserve">  Keying off the notice of removal filed in </w:t>
      </w:r>
      <w:r>
        <w:rPr>
          <w:i/>
          <w:lang w:eastAsia="en-US"/>
        </w:rPr>
        <w:t>Hendricks</w:t>
      </w:r>
      <w:r>
        <w:rPr>
          <w:lang w:eastAsia="en-US"/>
        </w:rPr>
        <w:t>, we attach a notice of removal which cites the portions of plaintiff’s complaint that show the 17200 causes of action turn on such proof.</w:t>
      </w:r>
    </w:p>
    <w:p>
      <w:pPr>
        <w:pStyle w:val="Heading1"/>
        <w:ind w:hanging="0" w:start="0"/>
        <w:rPr/>
      </w:pPr>
      <w:r>
        <w:rPr/>
        <w:t>Eleventh Amendment BAR TO REMOVAL.</w:t>
      </w:r>
    </w:p>
    <w:p>
      <w:pPr>
        <w:pStyle w:val="BodyText"/>
        <w:ind w:hanging="0" w:end="0"/>
        <w:rPr/>
      </w:pPr>
      <w:r>
        <w:rPr>
          <w:u w:val="single"/>
        </w:rPr>
        <w:t>Conclusion</w:t>
      </w:r>
      <w:r>
        <w:rPr/>
        <w:t xml:space="preserve">:  The Eleventh Amendment probably does not prevent removal and bar federal jurisdiction over this lawsuit because, if the City of San Francisco can be construed to be acting as the State, it brings this action as the plaintiff, and therefore should be outside the Eleventh Amendment protection.  While the weight of authority outside California suggests this should be the result, there is one California district court case which holds to the contrary with respect to removal commenced on the grounds of diversity.  </w:t>
      </w:r>
    </w:p>
    <w:p>
      <w:pPr>
        <w:pStyle w:val="BodyText"/>
        <w:ind w:hanging="0" w:end="0"/>
        <w:rPr/>
      </w:pPr>
      <w:r>
        <w:rPr>
          <w:u w:val="single"/>
        </w:rPr>
        <w:t>Analysis</w:t>
      </w:r>
      <w:r>
        <w:rPr/>
        <w:t>:  According to the Eleventh Amendment of the United States Constitution:</w:t>
      </w:r>
    </w:p>
    <w:p>
      <w:pPr>
        <w:pStyle w:val="QuoteS"/>
        <w:rPr/>
      </w:pPr>
      <w:r>
        <w:rPr/>
        <w:t>The Judicial power of the United States shall not be construed to extend to any suit in law or equity, commenced or prosecuted against one of the United States by Citizens of another State, or by Citizens or Subjects of any Foreign State.</w:t>
      </w:r>
    </w:p>
    <w:p>
      <w:pPr>
        <w:pStyle w:val="BodyText"/>
        <w:rPr/>
      </w:pPr>
      <w:r>
        <w:rPr/>
        <w:t>There are two issues:  (1)  Should the plaintiff here be considered a state of purposes of Eleventh Amendment analysis.   (2)  If it is, does the Eleventh Amendment bar removal under federal question jurisdiction when the state is a plaintiff.</w:t>
      </w:r>
    </w:p>
    <w:p>
      <w:pPr>
        <w:pStyle w:val="BodyText"/>
        <w:rPr/>
      </w:pPr>
      <w:r>
        <w:rPr/>
        <w:t>First, t</w:t>
      </w:r>
      <w:r>
        <w:rPr>
          <w:lang w:eastAsia="en-US"/>
        </w:rPr>
        <w:t xml:space="preserve">he plaintiff probably will be considered the state for the purposes of the Eleventh Amendment.  The City Attorney for the City of San Francisco has brought this case on behalf of the People of the State of California.  The Business and Professions Code grants the City the authority to do so.  </w:t>
      </w:r>
      <w:r>
        <w:rPr>
          <w:i/>
          <w:lang w:eastAsia="en-US"/>
        </w:rPr>
        <w:t xml:space="preserve">See </w:t>
      </w:r>
      <w:r>
        <w:rPr>
          <w:lang w:eastAsia="en-US"/>
        </w:rPr>
        <w:t xml:space="preserve">Cal. Bus. &amp; Prof. Code § 17204.  In an analogous case, in which the Los Angeles District Attorney brought a 17200 claim on behalf of the People of the State of California, the court held that the plaintiff was the state in order to defeat diversity.  </w:t>
      </w:r>
      <w:r>
        <w:rPr>
          <w:i/>
          <w:lang w:eastAsia="en-US"/>
        </w:rPr>
        <w:t xml:space="preserve">California v. Steelcase, Inc., </w:t>
      </w:r>
      <w:r>
        <w:rPr>
          <w:lang w:eastAsia="en-US"/>
        </w:rPr>
        <w:t xml:space="preserve">792 F. Supp. 84 (C.D. Cal. 1992).  Defendants can argue that the City does not have the authority to bring this lawsuit on behalf of the State because this case is nothing more than a naked Cartwright Act claim, and under the Cartwright Act, the City can not bring a lawsuit on behalf of the People of the State of California.  </w:t>
      </w:r>
      <w:r>
        <w:rPr>
          <w:i/>
          <w:lang w:eastAsia="en-US"/>
        </w:rPr>
        <w:t xml:space="preserve">See </w:t>
      </w:r>
      <w:r>
        <w:rPr>
          <w:lang w:eastAsia="en-US"/>
        </w:rPr>
        <w:t>Cal. Bus. &amp; Prof. Code § 16760(g).  This argument is worth making, but probably will not prevail.</w:t>
      </w:r>
    </w:p>
    <w:p>
      <w:pPr>
        <w:pStyle w:val="BodyText"/>
        <w:rPr/>
      </w:pPr>
      <w:r>
        <w:rPr/>
        <w:t xml:space="preserve">Second, assuming the plaintiff is the state here, the Eleventh Amendment most likely does not bar removal under federal question jurisdiction when the state is a plaintiff.  The language of the Eleventh Amendment, and the language of Supreme Court opinions interpreting it, speak to suits </w:t>
      </w:r>
      <w:r>
        <w:rPr>
          <w:i/>
        </w:rPr>
        <w:t>against</w:t>
      </w:r>
      <w:r>
        <w:rPr/>
        <w:t xml:space="preserve"> States, i.e, lawsuits where the State is a </w:t>
      </w:r>
      <w:r>
        <w:rPr>
          <w:i/>
        </w:rPr>
        <w:t>defendant</w:t>
      </w:r>
      <w:r>
        <w:rPr/>
        <w:t xml:space="preserve">.  The Supreme Court has interpreted the Eleventh Amendment to prohibit “federal jurisdiction over suits against unconsenting States.”  </w:t>
      </w:r>
      <w:r>
        <w:rPr>
          <w:i/>
        </w:rPr>
        <w:t>See, e.g., Seminole Tribe of Florida v. Florida</w:t>
      </w:r>
      <w:r>
        <w:rPr/>
        <w:t xml:space="preserve">, 517 U.S. 44, 54 (1996).  Likewise, the Court has held that pursuant to the Eleventh Amendment, “a federal court could not entertain a suit brought by a citizen against his own State.”  </w:t>
      </w:r>
      <w:r>
        <w:rPr>
          <w:i/>
        </w:rPr>
        <w:t>See, e.g., Pennhurst State School &amp; Hosp. v. Halderman</w:t>
      </w:r>
      <w:r>
        <w:rPr/>
        <w:t xml:space="preserve">, 465 U.S. 89 (1984).  In this case, however, attorneys for the City of San Francisco brought this lawsuit on behalf of the </w:t>
      </w:r>
      <w:r>
        <w:rPr>
          <w:i/>
        </w:rPr>
        <w:t>plaintiff</w:t>
      </w:r>
      <w:r>
        <w:rPr/>
        <w:t xml:space="preserve">, the People of the State of California.  </w:t>
      </w:r>
    </w:p>
    <w:p>
      <w:pPr>
        <w:pStyle w:val="BodyText"/>
        <w:rPr/>
      </w:pPr>
      <w:r>
        <w:rPr/>
        <w:t xml:space="preserve">The great weight of the case law, all of which is from jurisdictions other than California, holds that the Eleventh Amendment is not a bar to removal where the State is the plaintiff in the state court action.  </w:t>
      </w:r>
      <w:r>
        <w:rPr>
          <w:i/>
        </w:rPr>
        <w:t xml:space="preserve">See Vermont v. Oncor Communications, </w:t>
      </w:r>
      <w:r>
        <w:rPr>
          <w:lang w:eastAsia="en-US"/>
        </w:rPr>
        <w:t xml:space="preserve">166 F.R.D. 313, 321 (D. Vermont 1996); </w:t>
      </w:r>
      <w:r>
        <w:rPr>
          <w:i/>
          <w:lang w:eastAsia="en-US"/>
        </w:rPr>
        <w:t>Regents of the Univ. Minn. v. Glaxo Wellcome, Inc</w:t>
      </w:r>
      <w:r>
        <w:rPr>
          <w:lang w:eastAsia="en-US"/>
        </w:rPr>
        <w:t xml:space="preserve">., 58 F. Supp. 2d 1036, 1040 (D. Minn. 1999); </w:t>
      </w:r>
      <w:r>
        <w:rPr>
          <w:i/>
          <w:lang w:eastAsia="en-US"/>
        </w:rPr>
        <w:t>South Dakota State Cement Plant Comm’n v. Wausau Underwriters Ins. Co.</w:t>
      </w:r>
      <w:r>
        <w:rPr/>
        <w:t xml:space="preserve">, 778 F. Supp. 1515, 1522 (D. South Dakota); </w:t>
      </w:r>
      <w:r>
        <w:rPr>
          <w:i/>
          <w:lang w:eastAsia="en-US"/>
        </w:rPr>
        <w:t>Kansas v. Home Cable Inc.</w:t>
      </w:r>
      <w:r>
        <w:rPr>
          <w:lang w:eastAsia="en-US"/>
        </w:rPr>
        <w:t xml:space="preserve">, 35 F. Supp. 2d. 783, 789 (D. Kan. 1998).  </w:t>
      </w:r>
      <w:r>
        <w:rPr>
          <w:i/>
          <w:lang w:eastAsia="en-US"/>
        </w:rPr>
        <w:t>See also, e.g., In re State of Texas</w:t>
      </w:r>
      <w:r>
        <w:rPr>
          <w:lang w:eastAsia="en-US"/>
        </w:rPr>
        <w:t xml:space="preserve">, 110 F. Supp. 2d 514, 531 (E.D. Tex. 2000) (noting that “most courts have declined to follow </w:t>
      </w:r>
      <w:r>
        <w:rPr>
          <w:i/>
          <w:lang w:eastAsia="en-US"/>
        </w:rPr>
        <w:t>Steelcase”</w:t>
      </w:r>
      <w:r>
        <w:rPr>
          <w:lang w:eastAsia="en-US"/>
        </w:rPr>
        <w:t xml:space="preserve">).  There is one unreported case from the Northern District of California which follows this line of reasoning.  </w:t>
      </w:r>
      <w:r>
        <w:rPr>
          <w:i/>
          <w:lang w:eastAsia="en-US"/>
        </w:rPr>
        <w:t xml:space="preserve">People of the State of California v. Acme Fill Corp., </w:t>
      </w:r>
      <w:r>
        <w:rPr>
          <w:lang w:eastAsia="en-US"/>
        </w:rPr>
        <w:t xml:space="preserve">1997 U.S. Dist. LEXIS 16847 (N.D. Cal. Oct. 21, 1997, J. Walker).  </w:t>
      </w:r>
    </w:p>
    <w:p>
      <w:pPr>
        <w:pStyle w:val="BodyText"/>
        <w:rPr/>
      </w:pPr>
      <w:r>
        <w:rPr>
          <w:lang w:eastAsia="en-US"/>
        </w:rPr>
        <w:t xml:space="preserve"> </w:t>
      </w:r>
      <w:r>
        <w:rPr/>
        <w:t xml:space="preserve">In </w:t>
      </w:r>
      <w:r>
        <w:rPr>
          <w:i/>
        </w:rPr>
        <w:t xml:space="preserve">Vermont, </w:t>
      </w:r>
      <w:r>
        <w:rPr/>
        <w:t xml:space="preserve">the State of Vermont brought a state court action against defendants under the Vermont Consumer Fraud Act.  Defendants removed on both federal question grounds and federal preemption.  The court granted removal on preemption grounds.  The State argued that the court lacked jurisdiction under the Eleventh Amendment.  The Court disagreed, holding that “suits brought by a state are not barred by the literal language of the amendment.”  </w:t>
      </w:r>
      <w:r>
        <w:rPr>
          <w:i/>
        </w:rPr>
        <w:t xml:space="preserve">Vermont, </w:t>
      </w:r>
      <w:r>
        <w:rPr>
          <w:lang w:eastAsia="en-US"/>
        </w:rPr>
        <w:t>166 F.R.D. at 32</w:t>
      </w:r>
      <w:r>
        <w:rPr/>
        <w:t>0-21.</w:t>
      </w:r>
    </w:p>
    <w:p>
      <w:pPr>
        <w:pStyle w:val="BodyText"/>
        <w:rPr/>
      </w:pPr>
      <w:r>
        <w:rPr/>
        <w:t xml:space="preserve">Likewise, in </w:t>
      </w:r>
      <w:r>
        <w:rPr>
          <w:i/>
        </w:rPr>
        <w:t xml:space="preserve">Regents of the Univ. of Minnesota, </w:t>
      </w:r>
      <w:r>
        <w:rPr>
          <w:lang w:eastAsia="en-US"/>
        </w:rPr>
        <w:t xml:space="preserve">the Regents brought a suit against defendant for declaratory relief arising out of a licensing agreement.  Defendants removed.  </w:t>
      </w:r>
      <w:r>
        <w:rPr/>
        <w:t xml:space="preserve">The Regents argued that the Eleventh Amendment “bars the maintenance of this action in federal court” arguing that “a state may not be drawn into federal court by removal any more than it can be sued directly as a defendant.”  The court disagreed, reviewing the reported and unreported case law, and finding that the weight of authority holds “that the Eleventh Amendment is not a bar to removal of this state court action where the State of Minnesota was the plaintiff.”  </w:t>
      </w:r>
      <w:r>
        <w:rPr>
          <w:i/>
          <w:lang w:eastAsia="en-US"/>
        </w:rPr>
        <w:t xml:space="preserve">Regents of the Univ. Minn., </w:t>
      </w:r>
      <w:r>
        <w:rPr>
          <w:lang w:eastAsia="en-US"/>
        </w:rPr>
        <w:t xml:space="preserve">58 F. Supp. 2d at 1040 </w:t>
      </w:r>
      <w:r>
        <w:rPr/>
        <w:t xml:space="preserve">(citing, among other cases, </w:t>
      </w:r>
      <w:r>
        <w:rPr>
          <w:i/>
          <w:lang w:eastAsia="en-US"/>
        </w:rPr>
        <w:t xml:space="preserve">People of the State of California v. Acme Fill Corp., </w:t>
      </w:r>
      <w:r>
        <w:rPr>
          <w:lang w:eastAsia="en-US"/>
        </w:rPr>
        <w:t xml:space="preserve">1997 U.S. Dist. LEXIS 16847 (N.D. Cal. Oct. 21, 1997, J. Walker).  </w:t>
      </w:r>
    </w:p>
    <w:p>
      <w:pPr>
        <w:pStyle w:val="BodyText"/>
        <w:rPr>
          <w:i/>
          <w:i/>
        </w:rPr>
      </w:pPr>
      <w:r>
        <w:rPr/>
        <w:t xml:space="preserve">The Northern District of California applied similar reasoning in an unreported opinion.  </w:t>
      </w:r>
      <w:r>
        <w:rPr>
          <w:i/>
        </w:rPr>
        <w:t xml:space="preserve">See </w:t>
      </w:r>
      <w:r>
        <w:rPr>
          <w:i/>
          <w:lang w:eastAsia="en-US"/>
        </w:rPr>
        <w:t xml:space="preserve">People of the State of California v. Acme Fill Corp., </w:t>
      </w:r>
      <w:r>
        <w:rPr>
          <w:lang w:eastAsia="en-US"/>
        </w:rPr>
        <w:t xml:space="preserve">1997 U.S. Dist. LEXIS 16847 (N.D. Cal. Oct. 21, 1997, J. Walker).  In that case, the attorney general on behalf of the People of California brought an action for civil penalties under the California Hazardous Waste Control Law.  Defendants removed on the basis of the res judicata effect of a prior settlement of a CERCLA action.  The State argued that the suit is barred by the Eleventh Amendment.  The Northern District disagreed, stating that “California brought suit against Acme of its own accord to recover civil penalties.  As a plaintiff, it cannot now assert immunity under the Eleventh Amendment.”  The court, however, granted remand because there was no federal question jurisdiction.  </w:t>
      </w:r>
    </w:p>
    <w:p>
      <w:pPr>
        <w:pStyle w:val="BodyText"/>
        <w:rPr/>
      </w:pPr>
      <w:r>
        <w:rPr/>
        <w:t xml:space="preserve">Two cases, however, have held that the Eleventh Amendment is a bar to removal where a public entity acting as a state is a plaintiff.  One is from the Central District of California.  </w:t>
      </w:r>
      <w:r>
        <w:rPr>
          <w:i/>
          <w:lang w:eastAsia="en-US"/>
        </w:rPr>
        <w:t xml:space="preserve">California v. Steelcase, Inc., </w:t>
      </w:r>
      <w:r>
        <w:rPr>
          <w:lang w:eastAsia="en-US"/>
        </w:rPr>
        <w:t xml:space="preserve">792 F. Supp. 84 (C.D. Cal. 1992).  </w:t>
      </w:r>
      <w:r>
        <w:rPr>
          <w:i/>
          <w:lang w:eastAsia="en-US"/>
        </w:rPr>
        <w:t>See also Moore v. State of Mississippi,</w:t>
      </w:r>
      <w:r>
        <w:rPr>
          <w:lang w:eastAsia="en-US"/>
        </w:rPr>
        <w:t xml:space="preserve"> 900 F. Supp. 26, 29 (S.D. Miss. 1995) (following </w:t>
      </w:r>
      <w:r>
        <w:rPr>
          <w:i/>
          <w:lang w:eastAsia="en-US"/>
        </w:rPr>
        <w:t>Steelcase</w:t>
      </w:r>
      <w:r>
        <w:rPr>
          <w:lang w:eastAsia="en-US"/>
        </w:rPr>
        <w:t xml:space="preserve">).  In </w:t>
      </w:r>
      <w:r>
        <w:rPr>
          <w:i/>
          <w:lang w:eastAsia="en-US"/>
        </w:rPr>
        <w:t xml:space="preserve">Steelcase, </w:t>
      </w:r>
      <w:r>
        <w:rPr>
          <w:lang w:eastAsia="en-US"/>
        </w:rPr>
        <w:t>the</w:t>
      </w:r>
      <w:r>
        <w:rPr>
          <w:i/>
          <w:lang w:eastAsia="en-US"/>
        </w:rPr>
        <w:t xml:space="preserve"> </w:t>
      </w:r>
      <w:r>
        <w:rPr>
          <w:lang w:eastAsia="en-US"/>
        </w:rPr>
        <w:t xml:space="preserve">Los Angeles District Attorney brought an action on behalf of the State, alleging violations of the Cartwright Act and § 17200 against a furniture manufacturer.  Defendant removed on diversity grounds.  The court remanded, holding that “there cannot be complete diversity because, . . ., the State of California is not a citizen of any state.”  The Court also held “independent of its failure to meet the complete diversity test, the court lacks jurisdiction over this case because of the bar of the Eleventh Amendment to the Constitution.”  According to the court, the 11th Amendment provides immunity from being made an involuntary party in federal court, which “should apply equally to the case where the state is a plaintiff in an action commenced in state court and the action is removed to federal court by the defendant.”  The court cites no authority for this legal assumption.  Continuing, the court states that the statute which allows removal on diversity (28 U.S.C. sec. 1441(a)) requires, for an action to be removable, the district court must have original jurisdiction over the action.  The court reasoned that “because of the jurisdictional bar of the Eleventh Amendment, the district courts would not have original jurisdiction over this action, absent the consent of the State.   The State does not consent to removal.   Therefore, subject matter jurisdiction is lacking.”  </w:t>
      </w:r>
    </w:p>
    <w:p>
      <w:pPr>
        <w:pStyle w:val="BodyText"/>
        <w:rPr/>
      </w:pPr>
      <w:r>
        <w:rPr>
          <w:lang w:eastAsia="en-US"/>
        </w:rPr>
        <w:t xml:space="preserve">Defendants can deal with </w:t>
      </w:r>
      <w:r>
        <w:rPr>
          <w:i/>
          <w:lang w:eastAsia="en-US"/>
        </w:rPr>
        <w:t xml:space="preserve">Steelcase </w:t>
      </w:r>
      <w:r>
        <w:rPr>
          <w:lang w:eastAsia="en-US"/>
        </w:rPr>
        <w:t xml:space="preserve">in two ways.  First, defendants should argue that the holding of </w:t>
      </w:r>
      <w:r>
        <w:rPr>
          <w:i/>
          <w:lang w:eastAsia="en-US"/>
        </w:rPr>
        <w:t xml:space="preserve">Steelcase </w:t>
      </w:r>
      <w:r>
        <w:rPr>
          <w:lang w:eastAsia="en-US"/>
        </w:rPr>
        <w:t xml:space="preserve">is simply wrong, citing the above authority.  Second, defendants can attempt to distinguish it, because unlike </w:t>
      </w:r>
      <w:r>
        <w:rPr>
          <w:i/>
          <w:lang w:eastAsia="en-US"/>
        </w:rPr>
        <w:t>Steelcase</w:t>
      </w:r>
      <w:r>
        <w:rPr>
          <w:lang w:eastAsia="en-US"/>
        </w:rPr>
        <w:t xml:space="preserve">, Defendants here will remove on federal question and federal preemption grounds.  The court in </w:t>
      </w:r>
      <w:r>
        <w:rPr>
          <w:i/>
          <w:lang w:eastAsia="en-US"/>
        </w:rPr>
        <w:t xml:space="preserve">Steelcase </w:t>
      </w:r>
      <w:r>
        <w:rPr>
          <w:lang w:eastAsia="en-US"/>
        </w:rPr>
        <w:t xml:space="preserve">relied on an interpretation of the removal for diversity statute.  According to the court in </w:t>
      </w:r>
      <w:r>
        <w:rPr>
          <w:i/>
          <w:lang w:eastAsia="en-US"/>
        </w:rPr>
        <w:t>Steelcase</w:t>
      </w:r>
      <w:r>
        <w:rPr>
          <w:lang w:eastAsia="en-US"/>
        </w:rPr>
        <w:t xml:space="preserve">, in order for removal on diversity grounds to be proper, the state court action must (1) meet the requirements of complete diversity and (2) the federal court must have original jurisdiction over the action.  The court concludes that it does not have original jurisdiction, because the Eleventh Amendment bars federal jurisdiction.  Removal on federal question grounds, however, does not have any such a contingency.  Rather, removal on this grounds simply requires a federal question in order for removal to be proper.  Therefore, to the extent that Defendants can show a federal question or federal preemption, there is a persuasive argument that </w:t>
      </w:r>
      <w:r>
        <w:rPr>
          <w:i/>
          <w:lang w:eastAsia="en-US"/>
        </w:rPr>
        <w:t xml:space="preserve">Steelcase </w:t>
      </w:r>
      <w:r>
        <w:rPr>
          <w:lang w:eastAsia="en-US"/>
        </w:rPr>
        <w:t xml:space="preserve">should not apply.   </w:t>
      </w:r>
    </w:p>
    <w:p>
      <w:pPr>
        <w:pStyle w:val="Heading1"/>
        <w:ind w:hanging="0" w:start="0"/>
        <w:rPr/>
      </w:pPr>
      <w:r>
        <w:rPr/>
        <w:t>Change of Venue Under Section 394(a).</w:t>
      </w:r>
    </w:p>
    <w:p>
      <w:pPr>
        <w:pStyle w:val="BodyText"/>
        <w:ind w:hanging="0" w:end="0"/>
        <w:rPr/>
      </w:pPr>
      <w:r>
        <w:rPr>
          <w:u w:val="single"/>
        </w:rPr>
        <w:t>Conclusion</w:t>
      </w:r>
      <w:r>
        <w:rPr/>
        <w:t>:  A motion to change of venue pursuant to C.C.P. § 394(a) is proper only if the City of San Francisco is the plaintiff.  If the State of California is determined to be the plaintiff, which is likely, this section does not apply.</w:t>
        <w:tab/>
      </w:r>
    </w:p>
    <w:p>
      <w:pPr>
        <w:pStyle w:val="BodyText"/>
        <w:ind w:hanging="0" w:end="0"/>
        <w:rPr/>
      </w:pPr>
      <w:r>
        <w:rPr>
          <w:u w:val="single"/>
        </w:rPr>
        <w:t>Analysis</w:t>
      </w:r>
      <w:r>
        <w:rPr/>
        <w:t xml:space="preserve">:  Code of Civil Procedure § 394(a) provides, in relevant part, that “Except for actions initiated by the district attorney pursuant to [certain sections of the Welfare and Institutions Code], any action or proceeding . . . brought by a county, city and county, city, or local agency within a certain county, or city and county,  . . . against a . . . corporation doing business in [another city] . . . shall be, on motion of either party, transferred for trial to a county, or city and county, other than the plaintiff, if the plaintiff is a county, or city and county, and other than that in which defendant resides, or is doing business, or is situated.”  A “local agency” does not include the State of California.  C.C.P. § 394(c).  </w:t>
      </w:r>
    </w:p>
    <w:p>
      <w:pPr>
        <w:pStyle w:val="BodyText"/>
        <w:rPr/>
      </w:pPr>
      <w:r>
        <w:rPr/>
        <w:t xml:space="preserve">Where a statute specifically allows a district attorney to sue on behalf of the People of the State of California, the case cannot be transferred under § 394(a).  </w:t>
      </w:r>
      <w:r>
        <w:rPr>
          <w:i/>
        </w:rPr>
        <w:t xml:space="preserve">See Nguyen v. Superior Court, </w:t>
      </w:r>
      <w:r>
        <w:rPr/>
        <w:t xml:space="preserve">49 Cal. App. 4th 1781 (1996).  In </w:t>
      </w:r>
      <w:r>
        <w:rPr>
          <w:i/>
        </w:rPr>
        <w:t xml:space="preserve">Nguyen, </w:t>
      </w:r>
      <w:r>
        <w:rPr/>
        <w:t xml:space="preserve">the San Mateo District Attorney brought an abatement action against defendants under the Red Light Abatement Law, Penal Code </w:t>
      </w:r>
      <w:r>
        <w:rPr>
          <w:lang w:eastAsia="en-US"/>
        </w:rPr>
        <w:t xml:space="preserve">§ 11226.  Defendants, not residents of San Mateo, moved to change venue pursuant to </w:t>
      </w:r>
      <w:r>
        <w:rPr/>
        <w:t xml:space="preserve">§ 394(a).  This motion was denied.  At the appellate court, defendants argued that § 394(a) required a transfer of venue because the district attorney represented the county, not the state, and § 394(a) explicitly requires a change of venue with respect to all actions brought by the county, with a limited number of exceptions.  The appellate court rejected these arguments.  According to the court, the Penal Code section explicitly allowed the district attorney to a suit on behalf of the People of California, and § 394(c) explicitly excludes state actions from transfer under § 394(a).     </w:t>
      </w:r>
    </w:p>
    <w:p>
      <w:pPr>
        <w:pStyle w:val="BodyText"/>
        <w:rPr/>
      </w:pPr>
      <w:r>
        <w:rPr>
          <w:i/>
        </w:rPr>
        <w:t xml:space="preserve">Nguyen </w:t>
      </w:r>
      <w:r>
        <w:rPr/>
        <w:t xml:space="preserve">probably prevents the transfer of venue of this case.  Here, </w:t>
      </w:r>
      <w:r>
        <w:rPr>
          <w:lang w:eastAsia="en-US"/>
        </w:rPr>
        <w:t xml:space="preserve">the City Attorney for the City of San Francisco has brought this case on behalf of the People of the State of </w:t>
      </w:r>
      <w:r>
        <w:rPr/>
        <w:t>California</w:t>
      </w:r>
      <w:r>
        <w:rPr>
          <w:lang w:eastAsia="en-US"/>
        </w:rPr>
        <w:t xml:space="preserve">.  The Business and Professions Code grants the City the authority to do so.  </w:t>
      </w:r>
      <w:r>
        <w:rPr>
          <w:i/>
          <w:lang w:eastAsia="en-US"/>
        </w:rPr>
        <w:t xml:space="preserve">See </w:t>
      </w:r>
      <w:r>
        <w:rPr>
          <w:lang w:eastAsia="en-US"/>
        </w:rPr>
        <w:t xml:space="preserve">Cal. Bus. &amp; Prof. Code § 17204.  In an analogous case, in which the Los Angeles District Attorney brought a 17200 claim on behalf of the People of the State of California, the court held that the plaintiff was the state in order to defeat diversity.  </w:t>
      </w:r>
      <w:r>
        <w:rPr>
          <w:i/>
          <w:lang w:eastAsia="en-US"/>
        </w:rPr>
        <w:t xml:space="preserve">California v. Steelcase, Inc., </w:t>
      </w:r>
      <w:r>
        <w:rPr>
          <w:lang w:eastAsia="en-US"/>
        </w:rPr>
        <w:t xml:space="preserve">792 F. Supp. 84 (C.D. Cal. 1992).  </w:t>
      </w:r>
    </w:p>
    <w:p>
      <w:pPr>
        <w:pStyle w:val="BodyText"/>
        <w:rPr/>
      </w:pPr>
      <w:r>
        <w:rPr>
          <w:lang w:eastAsia="en-US"/>
        </w:rPr>
        <w:t xml:space="preserve">Defendants can argue that the City does not have the authority to bring this lawsuit on behalf of the State because this case is nothing more than a covert Cartwright Act claim, and under the Cartwright Act, the City can not bring a lawsuit on behalf of the People of the State of California.  </w:t>
      </w:r>
      <w:r>
        <w:rPr>
          <w:i/>
          <w:lang w:eastAsia="en-US"/>
        </w:rPr>
        <w:t xml:space="preserve">See </w:t>
      </w:r>
      <w:r>
        <w:rPr>
          <w:lang w:eastAsia="en-US"/>
        </w:rPr>
        <w:t xml:space="preserve">Cal. Bus. &amp; Prof. Code § 16760(g).  </w:t>
      </w:r>
    </w:p>
    <w:p>
      <w:pPr>
        <w:pStyle w:val="Heading2"/>
        <w:ind w:hanging="0" w:start="0"/>
        <w:rPr>
          <w:lang w:eastAsia="en-US"/>
        </w:rPr>
      </w:pPr>
      <w:r>
        <w:rPr>
          <w:lang w:eastAsia="en-US"/>
        </w:rPr>
        <w:t xml:space="preserve">General Analysis of Change of Venue Under </w:t>
      </w:r>
      <w:r>
        <w:rPr/>
        <w:t>CCP § 394(a).</w:t>
      </w:r>
      <w:r>
        <w:rPr>
          <w:lang w:eastAsia="en-US"/>
        </w:rPr>
        <w:t xml:space="preserve"> </w:t>
      </w:r>
    </w:p>
    <w:p>
      <w:pPr>
        <w:pStyle w:val="BodyText"/>
        <w:rPr/>
      </w:pPr>
      <w:r>
        <w:rPr/>
        <w:t xml:space="preserve">Assuming that defendants can convince the court that the City of San Francisco is the plaintiff, the remaining issues with regard to defendants’ ability to change venue under § 394(a) are (1) whether any or all of them are “doing business” San Francisco County within the meaning of the statute, (2) the impact of a finding that one is “doing business” in San Francisco, and (3) whether this motion can be made in the event that the case is remanded. </w:t>
      </w:r>
    </w:p>
    <w:p>
      <w:pPr>
        <w:pStyle w:val="BodyText"/>
        <w:rPr/>
      </w:pPr>
      <w:r>
        <w:rPr>
          <w:i/>
          <w:u w:val="single"/>
        </w:rPr>
        <w:t>First</w:t>
      </w:r>
      <w:r>
        <w:rPr>
          <w:i/>
        </w:rPr>
        <w:t xml:space="preserve">, </w:t>
      </w:r>
      <w:r>
        <w:rPr/>
        <w:t xml:space="preserve">under the standards set forth in case law, most defendants in the San Francisco litigation are reasonably likely to be viewed as outsiders vis-à-vis the San Francisco community (note Governor Davis’ repeated reference to “out of state power brokers”).  </w:t>
      </w:r>
      <w:r>
        <w:rPr>
          <w:i/>
        </w:rPr>
        <w:t>See Westinghouse Electric Corp. v. Superior Court</w:t>
      </w:r>
      <w:r>
        <w:rPr/>
        <w:t xml:space="preserve">, 17 Cal. 3d 259, 266 (1976); </w:t>
      </w:r>
      <w:r>
        <w:rPr>
          <w:i/>
        </w:rPr>
        <w:t>Kennedy/Jenks Consultants, Inc., v. Superior Court</w:t>
      </w:r>
      <w:r>
        <w:rPr/>
        <w:t>, 80 Cal. App. 4th 948 (2000).</w:t>
      </w:r>
      <w:r>
        <w:rPr>
          <w:rStyle w:val="FootnoteCharacters"/>
          <w:rStyle w:val="FootnoteReference"/>
        </w:rPr>
        <w:footnoteReference w:id="5"/>
      </w:r>
      <w:r>
        <w:rPr/>
        <w:t xml:space="preserve">  </w:t>
      </w:r>
      <w:r>
        <w:rPr>
          <w:i/>
        </w:rPr>
        <w:t xml:space="preserve"> </w:t>
      </w:r>
      <w:r>
        <w:rPr/>
        <w:t xml:space="preserve">    </w:t>
      </w:r>
    </w:p>
    <w:p>
      <w:pPr>
        <w:pStyle w:val="BodyText"/>
        <w:rPr/>
      </w:pPr>
      <w:r>
        <w:rPr/>
        <w:t>The purpose of this portion of §</w:t>
      </w:r>
      <w:r>
        <w:rPr>
          <w:b/>
        </w:rPr>
        <w:t xml:space="preserve"> </w:t>
      </w:r>
      <w:r>
        <w:rPr/>
        <w:t xml:space="preserve">394(a) is to guard against the local bias that may exist in favor of litigants within a county as against those from without the county, and to ensure that both parties have a trial on neutral territory.  </w:t>
      </w:r>
      <w:r>
        <w:rPr>
          <w:i/>
        </w:rPr>
        <w:t>Westinghouse Electric Corp. v. Superior Court</w:t>
      </w:r>
      <w:r>
        <w:rPr/>
        <w:t xml:space="preserve">, 17 Cal. 3d 259, 266 (1976).  For purposes of § 394(a), a corporation is doing business in a county “only if its activities in the county are substantial enough that the corporation can reasonably be viewed as being intimately identified with the affairs or closely associated with the people of the community.”  </w:t>
      </w:r>
      <w:r>
        <w:rPr>
          <w:i/>
        </w:rPr>
        <w:t>Id</w:t>
      </w:r>
      <w:r>
        <w:rPr/>
        <w:t xml:space="preserve">. at 271, fn. omitted.  The relevant inquiry is “whether, in light not only of the status of the [defendant] but also of the nature of the litigation, the [defendant] is reasonably likely to be viewed as an outsider.”  </w:t>
      </w:r>
      <w:r>
        <w:rPr>
          <w:i/>
        </w:rPr>
        <w:t>San Francisco Foundation v. Superior Court</w:t>
      </w:r>
      <w:r>
        <w:rPr/>
        <w:t>, 37 Cal. 3d 285, 299-300 (1984).</w:t>
      </w:r>
      <w:r>
        <w:rPr>
          <w:b/>
        </w:rPr>
        <w:t xml:space="preserve"> </w:t>
      </w:r>
    </w:p>
    <w:p>
      <w:pPr>
        <w:pStyle w:val="BodyText"/>
        <w:tabs>
          <w:tab w:val="clear" w:pos="720"/>
          <w:tab w:val="right" w:pos="4230" w:leader="none"/>
        </w:tabs>
        <w:rPr/>
      </w:pPr>
      <w:r>
        <w:rPr>
          <w:i/>
          <w:u w:val="single"/>
        </w:rPr>
        <w:t>Second</w:t>
      </w:r>
      <w:r>
        <w:rPr/>
        <w:t xml:space="preserve">, in the event that one or more of the defendants are found to be “doing business” in San Francisco, the trial court will have discretion to decide whether a change of venue should be granted as to all defendants or whether the action should be severed.  </w:t>
      </w:r>
    </w:p>
    <w:p>
      <w:pPr>
        <w:pStyle w:val="BodyText"/>
        <w:tabs>
          <w:tab w:val="clear" w:pos="720"/>
          <w:tab w:val="right" w:pos="4230" w:leader="none"/>
        </w:tabs>
        <w:rPr>
          <w:b/>
        </w:rPr>
      </w:pPr>
      <w:r>
        <w:rPr/>
        <w:t xml:space="preserve">A “[defendant’s] right to a transfer is not diminished by the fact that one or more of the other corporate </w:t>
      </w:r>
      <w:r>
        <w:rPr>
          <w:lang w:eastAsia="en-US"/>
        </w:rPr>
        <w:t>defendants</w:t>
      </w:r>
      <w:r>
        <w:rPr/>
        <w:t xml:space="preserve"> may be doing business in the county.”  </w:t>
      </w:r>
      <w:r>
        <w:rPr>
          <w:i/>
        </w:rPr>
        <w:t>Westinghouse</w:t>
      </w:r>
      <w:r>
        <w:rPr/>
        <w:t xml:space="preserve">, 17 Cal. 3d at 275.  However, an order granting a change of venue pursuant to § 394(a) will not </w:t>
      </w:r>
      <w:r>
        <w:rPr>
          <w:i/>
        </w:rPr>
        <w:t>automatically</w:t>
      </w:r>
      <w:r>
        <w:rPr/>
        <w:t xml:space="preserve"> result in the transfer of the entire action to a neutral forum.  Rather, the trial court has the power to order a severance and a separate transfer solely for the nonresident defendant.  </w:t>
      </w:r>
      <w:r>
        <w:rPr>
          <w:i/>
        </w:rPr>
        <w:t>Id</w:t>
      </w:r>
      <w:r>
        <w:rPr/>
        <w:t xml:space="preserve">. at 277-278 (citing </w:t>
      </w:r>
      <w:r>
        <w:rPr>
          <w:i/>
        </w:rPr>
        <w:t>City of Oakland</w:t>
      </w:r>
      <w:r>
        <w:rPr/>
        <w:t xml:space="preserve">, 102 Cal. App. 2d 493).  </w:t>
      </w:r>
      <w:r>
        <w:rPr>
          <w:i/>
        </w:rPr>
        <w:t>See also</w:t>
      </w:r>
      <w:r>
        <w:rPr/>
        <w:t xml:space="preserve"> </w:t>
      </w:r>
      <w:r>
        <w:rPr>
          <w:i/>
        </w:rPr>
        <w:t>Ohio Casualty Insurance Group v. Superior Court</w:t>
      </w:r>
      <w:r>
        <w:rPr/>
        <w:t xml:space="preserve">, 30 Cal. App. 4th 444, 452 (1994) (citing </w:t>
      </w:r>
      <w:r>
        <w:rPr>
          <w:i/>
        </w:rPr>
        <w:t>Westinghouse</w:t>
      </w:r>
      <w:r>
        <w:rPr/>
        <w:t xml:space="preserve"> for the proposition that “if the case involves a resident and a nonresident cross-defendant, the trial court may order a severance and a separate transfer solely for the nonresident cross-defendant.”)   </w:t>
      </w:r>
    </w:p>
    <w:p>
      <w:pPr>
        <w:pStyle w:val="BodyText"/>
        <w:spacing w:before="0" w:after="240"/>
        <w:rPr/>
      </w:pPr>
      <w:r>
        <w:rPr>
          <w:i/>
          <w:u w:val="single"/>
        </w:rPr>
        <w:t>Third</w:t>
      </w:r>
      <w:r>
        <w:rPr/>
        <w:t xml:space="preserve">, filing a motion to remove the case to federal district court should not prejudice Defendants’ right to file a motion to change venue.  Defendants can file such a motion, should the case be remanded later, within a “reasonable” time and for a “non-dilatory” purpose.  </w:t>
      </w:r>
      <w:r>
        <w:rPr>
          <w:i/>
        </w:rPr>
        <w:t>Marin County Community College District v. Superior Court</w:t>
      </w:r>
      <w:r>
        <w:rPr/>
        <w:t>, 72 Cal. App. 3d 719, 723 (1977).</w:t>
      </w:r>
    </w:p>
    <w:sectPr>
      <w:footerReference w:type="default" r:id="rId3"/>
      <w:footerReference w:type="first" r:id="rId4"/>
      <w:footnotePr>
        <w:numFmt w:val="decimal"/>
      </w:footnotePr>
      <w:type w:val="nextPage"/>
      <w:pgSz w:w="12240" w:h="15840"/>
      <w:pgMar w:left="1440" w:right="1440" w:gutter="0" w:header="0" w:top="1440" w:footer="432"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pPr>
      <w:pStyle w:val="Footer"/>
      <w:tabs>
        <w:tab w:val="clear" w:pos="4320"/>
        <w:tab w:val="clear" w:pos="8640"/>
      </w:tabs>
      <w:rPr>
        <w:caps/>
        <w:sz w:val="12"/>
      </w:rPr>
    </w:pPr>
    <w:r>
      <w:rPr>
        <w:caps/>
        <w:sz w:val="12"/>
      </w:rPr>
      <w:fldChar w:fldCharType="begin"/>
    </w:r>
    <w:r>
      <w:rPr>
        <w:caps/>
        <w:sz w:val="12"/>
      </w:rPr>
      <w:instrText xml:space="preserve"> DOCPROPERTY "Doc No."</w:instrText>
    </w:r>
    <w:r>
      <w:rPr>
        <w:caps/>
        <w:sz w:val="12"/>
      </w:rPr>
      <w:fldChar w:fldCharType="separate"/>
    </w:r>
    <w:r>
      <w:rPr>
        <w:caps/>
        <w:sz w:val="12"/>
      </w:rPr>
      <w:t>SFRLIB1\P2M\5464938.04(394R%04!.DOC)</w:t>
    </w:r>
    <w:r>
      <w:rPr>
        <w:caps/>
        <w:sz w:val="12"/>
      </w:rPr>
      <w:fldChar w:fldCharType="end"/>
    </w:r>
  </w:p>
  <w:p>
    <w:pPr>
      <w:pStyle w:val="Footer"/>
      <w:tabs>
        <w:tab w:val="clear" w:pos="4320"/>
        <w:tab w:val="clear" w:pos="8640"/>
      </w:tabs>
      <w:rPr>
        <w:caps/>
        <w:sz w:val="12"/>
      </w:rPr>
    </w:pPr>
    <w:r>
      <w:rPr>
        <w:caps/>
        <w:sz w:val="12"/>
      </w:rPr>
      <w:fldChar w:fldCharType="begin"/>
    </w:r>
    <w:r>
      <w:rPr>
        <w:caps/>
        <w:sz w:val="12"/>
      </w:rPr>
      <w:instrText xml:space="preserve"> DOCPROPERTY "date"</w:instrText>
    </w:r>
    <w:r>
      <w:rPr>
        <w:caps/>
        <w:sz w:val="12"/>
      </w:rPr>
      <w:fldChar w:fldCharType="separate"/>
    </w:r>
    <w:r>
      <w:rPr>
        <w:caps/>
        <w:sz w:val="12"/>
      </w:rPr>
      <w:t xml:space="preserve"> </w:t>
    </w:r>
    <w:r>
      <w:rPr>
        <w:caps/>
        <w:sz w:val="12"/>
      </w:rPr>
      <w:fldChar w:fldCharType="end"/>
    </w:r>
  </w:p>
  <w:p>
    <w:pPr>
      <w:pStyle w:val="Normal"/>
      <w:rPr>
        <w:caps/>
        <w:sz w:val="12"/>
      </w:rPr>
    </w:pPr>
    <w:r>
      <w:rPr>
        <w:cap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rPr>
        <w:caps/>
        <w:sz w:val="12"/>
      </w:rPr>
    </w:pPr>
    <w:r>
      <w:rPr>
        <w:caps/>
        <w:sz w:val="12"/>
      </w:rPr>
      <w:fldChar w:fldCharType="begin"/>
    </w:r>
    <w:r>
      <w:rPr>
        <w:caps/>
        <w:sz w:val="12"/>
      </w:rPr>
      <w:instrText xml:space="preserve"> DOCPROPERTY "Doc No."</w:instrText>
    </w:r>
    <w:r>
      <w:rPr>
        <w:caps/>
        <w:sz w:val="12"/>
      </w:rPr>
      <w:fldChar w:fldCharType="separate"/>
    </w:r>
    <w:r>
      <w:rPr>
        <w:caps/>
        <w:sz w:val="12"/>
      </w:rPr>
      <w:t>SFRLIB1\P2M\5464938.04(394R%04!.DOC)</w:t>
    </w:r>
    <w:r>
      <w:rPr>
        <w:caps/>
        <w:sz w:val="12"/>
      </w:rPr>
      <w:fldChar w:fldCharType="end"/>
    </w:r>
  </w:p>
  <w:p>
    <w:pPr>
      <w:pStyle w:val="Footer"/>
      <w:tabs>
        <w:tab w:val="clear" w:pos="4320"/>
        <w:tab w:val="clear" w:pos="8640"/>
      </w:tabs>
      <w:rPr>
        <w:caps/>
        <w:sz w:val="12"/>
      </w:rPr>
    </w:pPr>
    <w:r>
      <w:rPr>
        <w:caps/>
        <w:sz w:val="12"/>
      </w:rPr>
      <w:fldChar w:fldCharType="begin"/>
    </w:r>
    <w:r>
      <w:rPr>
        <w:caps/>
        <w:sz w:val="12"/>
      </w:rPr>
      <w:instrText xml:space="preserve"> DOCPROPERTY "date"</w:instrText>
    </w:r>
    <w:r>
      <w:rPr>
        <w:caps/>
        <w:sz w:val="12"/>
      </w:rPr>
      <w:fldChar w:fldCharType="separate"/>
    </w:r>
    <w:r>
      <w:rPr>
        <w:caps/>
        <w:sz w:val="12"/>
      </w:rPr>
      <w:t xml:space="preserve"> </w:t>
    </w:r>
    <w:r>
      <w:rPr>
        <w:caps/>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240" w:after="0"/>
        <w:ind w:firstLine="720" w:start="0" w:end="0"/>
        <w:rPr/>
      </w:pPr>
      <w:r>
        <w:rPr>
          <w:rStyle w:val="FootnoteCharacters"/>
        </w:rPr>
        <w:footnoteRef/>
      </w:r>
      <w:r>
        <w:rPr/>
        <w:t xml:space="preserve"> </w:t>
      </w:r>
      <w:r>
        <w:rPr/>
        <w:t xml:space="preserve">Another material difference is that the complaint in the San Francisco Case omits all references to “just and reasonable prices” and to FERC.  </w:t>
      </w:r>
      <w:r>
        <w:rPr>
          <w:i/>
        </w:rPr>
        <w:t xml:space="preserve">See, e.g., Hendircks </w:t>
      </w:r>
      <w:r>
        <w:rPr/>
        <w:t xml:space="preserve">Compl. ¶¶ 4, 28. </w:t>
      </w:r>
    </w:p>
  </w:footnote>
  <w:footnote w:id="3">
    <w:p>
      <w:pPr>
        <w:pStyle w:val="FootnoteText"/>
        <w:spacing w:before="240" w:after="0"/>
        <w:ind w:firstLine="720" w:start="0" w:end="0"/>
        <w:rPr/>
      </w:pPr>
      <w:r>
        <w:rPr>
          <w:rStyle w:val="FootnoteCharacters"/>
        </w:rPr>
        <w:footnoteRef/>
      </w:r>
      <w:r>
        <w:rPr/>
        <w:t xml:space="preserve"> </w:t>
      </w:r>
      <w:r>
        <w:rPr/>
        <w:t xml:space="preserve">With regard to the argument that the Federal Power Act does in fact provide a basis for complete preemption to meet this standard, we have relied solely on the earlier memorandum of the defense group done in anticipation of removal of </w:t>
      </w:r>
      <w:r>
        <w:rPr>
          <w:i/>
        </w:rPr>
        <w:t>Hendricks</w:t>
      </w:r>
      <w:r>
        <w:rPr/>
        <w:t>.  Further analysis on this issue is beyond the scope of this memorandum.</w:t>
      </w:r>
    </w:p>
  </w:footnote>
  <w:footnote w:id="4">
    <w:p>
      <w:pPr>
        <w:pStyle w:val="FootnoteText"/>
        <w:spacing w:before="240" w:after="0"/>
        <w:ind w:firstLine="720" w:start="0" w:end="0"/>
        <w:rPr/>
      </w:pPr>
      <w:r>
        <w:rPr>
          <w:rStyle w:val="FootnoteCharacters"/>
        </w:rPr>
        <w:footnoteRef/>
      </w:r>
      <w:r>
        <w:rPr/>
        <w:t xml:space="preserve"> </w:t>
      </w:r>
      <w:r>
        <w:rPr/>
        <w:t xml:space="preserve">With regard to the argument that the Federal Power Act does in fact provide a basis for complete preemption to meet this standard, we have relied solely on the earlier memorandum of the defense group done in anticipation of removal of </w:t>
      </w:r>
      <w:r>
        <w:rPr>
          <w:i/>
        </w:rPr>
        <w:t>Hendricks</w:t>
      </w:r>
      <w:r>
        <w:rPr/>
        <w:t>.  Further analysis on this issue is beyond the scope of this memorandum.</w:t>
      </w:r>
    </w:p>
  </w:footnote>
  <w:footnote w:id="5">
    <w:p>
      <w:pPr>
        <w:pStyle w:val="FootnoteText"/>
        <w:spacing w:before="240" w:after="0"/>
        <w:ind w:firstLine="720" w:start="0" w:end="0"/>
        <w:rPr/>
      </w:pPr>
      <w:r>
        <w:rPr>
          <w:rStyle w:val="FootnoteCharacters"/>
        </w:rPr>
        <w:footnoteRef/>
      </w:r>
      <w:r>
        <w:rPr/>
        <w:t xml:space="preserve"> </w:t>
      </w:r>
      <w:r>
        <w:rPr>
          <w:lang w:eastAsia="en-US"/>
        </w:rPr>
        <w:t xml:space="preserve">Upon a proper motion by defendants, the trial judge must select an appropriate venue and transfer the proceeding to that venue.  </w:t>
      </w:r>
      <w:r>
        <w:rPr>
          <w:i/>
          <w:lang w:eastAsia="en-US"/>
        </w:rPr>
        <w:t>City of Oakland v. Darbee</w:t>
      </w:r>
      <w:r>
        <w:rPr>
          <w:lang w:eastAsia="en-US"/>
        </w:rPr>
        <w:t xml:space="preserve">, 102 Cal. App. 2d 493, 500 (1951).  The defendants need not, in support of a motion to change venue, tender evidence that there exists a county in which no defendant corporation is doing business.  </w:t>
      </w:r>
      <w:r>
        <w:rPr>
          <w:i/>
          <w:lang w:eastAsia="en-US"/>
        </w:rPr>
        <w:t>Id</w:t>
      </w:r>
      <w:r>
        <w:rPr>
          <w:lang w:eastAsia="en-US"/>
        </w:rPr>
        <w:t>. at 499.  Nonetheless, we believe defendants should prior to filing the motion identify venues in which no single defendant has a substantial presence in the community.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b/>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keepLines/>
      <w:pBdr>
        <w:bottom w:val="thinThickSmallGap" w:sz="24" w:space="1" w:color="000000"/>
      </w:pBdr>
      <w:spacing w:before="0" w:after="240"/>
      <w:ind w:hanging="0" w:start="0" w:end="1728"/>
      <w:outlineLvl w:val="0"/>
    </w:pPr>
    <w:rPr>
      <w:rFonts w:ascii="Arial" w:hAnsi="Arial" w:cs="Arial"/>
      <w:b/>
      <w:spacing w:val="400"/>
      <w:sz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1080" w:leader="none"/>
      </w:tabs>
      <w:spacing w:before="240" w:after="0"/>
      <w:ind w:firstLine="720" w:start="0" w:end="0"/>
    </w:pPr>
    <w:rPr/>
  </w:style>
  <w:style w:type="paragraph" w:styleId="BodyNumHang">
    <w:name w:val="BodyNumHang"/>
    <w:basedOn w:val="BodyText"/>
    <w:qFormat/>
    <w:pPr>
      <w:widowControl w:val="false"/>
      <w:numPr>
        <w:ilvl w:val="0"/>
        <w:numId w:val="5"/>
      </w:numPr>
      <w:tabs>
        <w:tab w:val="left" w:pos="720" w:leader="none"/>
      </w:tabs>
      <w:ind w:hanging="720" w:start="2160" w:end="0"/>
    </w:pPr>
    <w:rPr/>
  </w:style>
  <w:style w:type="paragraph" w:styleId="Enclosure">
    <w:name w:val="Enclosure"/>
    <w:basedOn w:val="BodyText"/>
    <w:next w:val="Normal"/>
    <w:qFormat/>
    <w:pPr>
      <w:keepLines/>
      <w:spacing w:before="220" w:after="240"/>
      <w:ind w:hanging="0" w:start="0" w:end="0"/>
    </w:pPr>
    <w:rPr/>
  </w:style>
  <w:style w:type="paragraph" w:styleId="bcc">
    <w:name w:val="bcc"/>
    <w:basedOn w:val="Normal"/>
    <w:qFormat/>
    <w:pPr>
      <w:pageBreakBefore/>
    </w:pPr>
    <w:rPr/>
  </w:style>
  <w:style w:type="paragraph" w:styleId="BodyLettersHang">
    <w:name w:val="BodyLettersHang"/>
    <w:basedOn w:val="BodyNumHang"/>
    <w:qFormat/>
    <w:pPr>
      <w:numPr>
        <w:ilvl w:val="0"/>
        <w:numId w:val="3"/>
      </w:numPr>
      <w:ind w:hanging="720" w:start="2160" w:end="0"/>
    </w:pPr>
    <w:rPr/>
  </w:style>
  <w:style w:type="paragraph" w:styleId="BodyLettersInd">
    <w:name w:val="BodyLettersInd"/>
    <w:basedOn w:val="Normal"/>
    <w:qFormat/>
    <w:pPr>
      <w:widowControl w:val="false"/>
      <w:numPr>
        <w:ilvl w:val="0"/>
        <w:numId w:val="2"/>
      </w:numPr>
      <w:spacing w:before="0" w:after="240"/>
      <w:ind w:firstLine="1440" w:start="0" w:end="0"/>
    </w:pPr>
    <w:rPr/>
  </w:style>
  <w:style w:type="paragraph" w:styleId="BodyNumInd">
    <w:name w:val="BodyNumInd"/>
    <w:basedOn w:val="BodyText"/>
    <w:qFormat/>
    <w:pPr>
      <w:widowControl w:val="false"/>
      <w:numPr>
        <w:ilvl w:val="0"/>
        <w:numId w:val="4"/>
      </w:numPr>
      <w:tabs>
        <w:tab w:val="left" w:pos="720" w:leader="none"/>
      </w:tabs>
      <w:ind w:firstLine="1440" w:start="0" w:end="0"/>
    </w:pPr>
    <w:rPr/>
  </w:style>
  <w:style w:type="paragraph" w:styleId="BodyTextInd">
    <w:name w:val="BodyTextInd"/>
    <w:basedOn w:val="BodyText"/>
    <w:qFormat/>
    <w:pPr>
      <w:ind w:hanging="0" w:start="1440" w:end="0"/>
    </w:pPr>
    <w:rPr/>
  </w:style>
  <w:style w:type="paragraph" w:styleId="BodyTextNoInd">
    <w:name w:val="BodyTextNoInd"/>
    <w:basedOn w:val="Normal"/>
    <w:qFormat/>
    <w:pPr>
      <w:spacing w:before="0" w:after="240"/>
    </w:pPr>
    <w:rPr/>
  </w:style>
  <w:style w:type="paragraph" w:styleId="CenteredHeading">
    <w:name w:val="Centered Heading"/>
    <w:basedOn w:val="Normal"/>
    <w:next w:val="BodyText"/>
    <w:qFormat/>
    <w:pPr>
      <w:widowControl w:val="false"/>
      <w:spacing w:before="0" w:after="240"/>
      <w:jc w:val="center"/>
    </w:pPr>
    <w:rPr/>
  </w:style>
  <w:style w:type="paragraph" w:styleId="LeftHeading">
    <w:name w:val="Left Heading"/>
    <w:basedOn w:val="BodyText"/>
    <w:next w:val="BodyText"/>
    <w:qFormat/>
    <w:pPr>
      <w:widowControl w:val="false"/>
      <w:ind w:hanging="0" w:start="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0"/>
    </w:pPr>
    <w:rPr/>
  </w:style>
  <w:style w:type="paragraph" w:styleId="QuoteS">
    <w:name w:val="QuoteS"/>
    <w:basedOn w:val="Normal"/>
    <w:next w:val="BodyText"/>
    <w:qFormat/>
    <w:pPr>
      <w:widowControl w:val="false"/>
      <w:spacing w:before="0" w:after="240"/>
      <w:ind w:hanging="0" w:start="1440" w:end="1440"/>
    </w:pPr>
    <w:rPr/>
  </w:style>
  <w:style w:type="paragraph" w:styleId="QuoteD">
    <w:name w:val="QuoteD"/>
    <w:basedOn w:val="QuoteS"/>
    <w:qFormat/>
    <w:pPr>
      <w:spacing w:lineRule="auto" w:line="480" w:before="0" w:after="0"/>
    </w:pPr>
    <w:rPr/>
  </w:style>
  <w:style w:type="paragraph" w:styleId="RightHeading">
    <w:name w:val="Right Heading"/>
    <w:basedOn w:val="LeftHeading"/>
    <w:next w:val="BodyText"/>
    <w:qFormat/>
    <w:pPr>
      <w:jc w:val="end"/>
    </w:pPr>
    <w:rPr/>
  </w:style>
  <w:style w:type="paragraph" w:styleId="WPComment">
    <w:name w:val="WPComment"/>
    <w:basedOn w:val="BodyText"/>
    <w:qFormat/>
    <w:pPr>
      <w:ind w:hanging="0" w:start="0" w:end="0"/>
    </w:pPr>
    <w:rPr>
      <w:vanish/>
      <w:color w:val="FF0000"/>
    </w:rPr>
  </w:style>
  <w:style w:type="paragraph" w:styleId="MessageHeader">
    <w:name w:val="Message Header"/>
    <w:basedOn w:val="Normal"/>
    <w:qFormat/>
    <w:pPr>
      <w:spacing w:before="0" w:after="24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2001-01-31T20:23:00Z</dcterms:created>
  <dc:creator>P2M</dc:creator>
  <dc:description/>
  <dc:language>en-CA</dc:language>
  <cp:lastModifiedBy>Systems Engineer</cp:lastModifiedBy>
  <cp:lastPrinted>2001-01-31T15:49:00Z</cp:lastPrinted>
  <dcterms:modified xsi:type="dcterms:W3CDTF">2001-01-31T22:24:00Z</dcterms:modified>
  <cp:revision>20</cp:revision>
  <dc:subject>11th Amendment &amp; Removal of the San Francisco Case</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SFRLIB1\P2M\5464938.04(394R%04!.DOC)</vt:lpwstr>
  </property>
  <property fmtid="{D5CDD505-2E9C-101B-9397-08002B2CF9AE}" pid="10" name="Doc Path">
    <vt:lpwstr/>
  </property>
  <property fmtid="{D5CDD505-2E9C-101B-9397-08002B2CF9AE}" pid="11" name="DocumentType">
    <vt:lpwstr>MEMO</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property>
  <property fmtid="{D5CDD505-2E9C-101B-9397-08002B2CF9AE}" pid="17" name="Parties">
    <vt:lpwstr> </vt:lpwstr>
  </property>
  <property fmtid="{D5CDD505-2E9C-101B-9397-08002B2CF9AE}" pid="18" name="Signer(s)">
    <vt:lpwstr>   </vt:lpwstr>
  </property>
</Properties>
</file>