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cap"/>
              <w:ind w:hanging="0" w:end="0"/>
              <w:rPr>
                <w:rFonts w:ascii="Times New Roman" w:hAnsi="Times New Roman" w:cs="Times New Roman"/>
              </w:rPr>
            </w:pPr>
            <w:r>
              <w:rPr>
                <w:rFonts w:cs="Times New Roman" w:ascii="Times New Roman" w:hAnsi="Times New Roman"/>
                <w:b/>
              </w:rPr>
              <w:drawing>
                <wp:inline distT="0" distB="0" distL="0" distR="0">
                  <wp:extent cx="1682750" cy="3968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92" r="-21" b="-92"/>
                          <a:stretch>
                            <a:fillRect/>
                          </a:stretch>
                        </pic:blipFill>
                        <pic:spPr bwMode="auto">
                          <a:xfrm>
                            <a:off x="0" y="0"/>
                            <a:ext cx="1682750" cy="396875"/>
                          </a:xfrm>
                          <a:prstGeom prst="rect">
                            <a:avLst/>
                          </a:prstGeom>
                          <a:noFill/>
                        </pic:spPr>
                      </pic:pic>
                    </a:graphicData>
                  </a:graphic>
                </wp:inline>
              </w:drawing>
            </w:r>
          </w:p>
        </w:tc>
        <w:tc>
          <w:tcPr>
            <w:tcW w:w="4428" w:type="dxa"/>
            <w:tcBorders/>
          </w:tcPr>
          <w:p>
            <w:pPr>
              <w:pStyle w:val="cap"/>
              <w:snapToGrid w:val="false"/>
              <w:ind w:hanging="0" w:end="0"/>
              <w:rPr>
                <w:rFonts w:ascii="Times New Roman" w:hAnsi="Times New Roman" w:cs="Times New Roman"/>
              </w:rPr>
            </w:pPr>
            <w:r>
              <w:rPr>
                <w:rFonts w:cs="Times New Roman" w:ascii="Times New Roman" w:hAnsi="Times New Roman"/>
              </w:rPr>
            </w:r>
          </w:p>
        </w:tc>
      </w:tr>
    </w:tbl>
    <w:p>
      <w:pPr>
        <w:pStyle w:val="Caption"/>
        <w:rPr/>
      </w:pPr>
      <w:r>
        <w:rPr/>
        <w:t>TERMINATION AGREEMENT</w:t>
      </w:r>
    </w:p>
    <w:p>
      <w:pPr>
        <w:pStyle w:val="Normal"/>
        <w:ind w:hanging="6300" w:start="6300" w:end="0"/>
        <w:jc w:val="both"/>
        <w:rPr/>
      </w:pPr>
      <w:r>
        <w:rPr>
          <w:b/>
        </w:rPr>
        <w:t>Dated: November 14, 2000</w:t>
      </w:r>
      <w:r>
        <w:rPr>
          <w:rFonts w:cs="Book Antiqua" w:ascii="Book Antiqua" w:hAnsi="Book Antiqua"/>
          <w:b/>
        </w:rPr>
        <w:tab/>
      </w:r>
      <w:r>
        <w:rPr>
          <w:b/>
        </w:rPr>
        <w:t>ML REF: 0002207_T</w:t>
      </w:r>
    </w:p>
    <w:p>
      <w:pPr>
        <w:pStyle w:val="Normal"/>
        <w:ind w:hanging="6300" w:start="6300" w:end="0"/>
        <w:jc w:val="both"/>
        <w:rPr>
          <w:b/>
        </w:rPr>
      </w:pPr>
      <w:r>
        <w:rPr>
          <w:b/>
        </w:rPr>
      </w:r>
    </w:p>
    <w:p>
      <w:pPr>
        <w:pStyle w:val="Normal"/>
        <w:ind w:hanging="2880" w:start="2880" w:end="306"/>
        <w:rPr/>
      </w:pPr>
      <w:r>
        <w:rPr>
          <w:b/>
        </w:rPr>
        <w:t>To:</w:t>
      </w:r>
      <w:r>
        <w:rPr/>
        <w:t xml:space="preserve"> </w:t>
        <w:tab/>
      </w:r>
      <w:r>
        <w:rPr>
          <w:rFonts w:cs="Book Antiqua" w:ascii="Book Antiqua" w:hAnsi="Book Antiqua"/>
          <w:b/>
        </w:rPr>
        <w:t xml:space="preserve">ENRON NORTH AMERICA CORP. </w:t>
      </w:r>
      <w:r>
        <w:rPr>
          <w:b/>
        </w:rPr>
        <w:t>(“Counterparty” and “ENRON”)</w:t>
      </w:r>
      <w:r>
        <w:rPr>
          <w:rFonts w:cs="Book Antiqua" w:ascii="Book Antiqua" w:hAnsi="Book Antiqua"/>
          <w:b/>
        </w:rPr>
        <w:br/>
        <w:t>ENRON BUILDING</w:t>
        <w:br/>
        <w:t xml:space="preserve">HOUSTON, TX 77002-7369     </w:t>
      </w:r>
    </w:p>
    <w:p>
      <w:pPr>
        <w:pStyle w:val="Normal"/>
        <w:ind w:hanging="45" w:start="2880" w:end="306"/>
        <w:rPr/>
      </w:pPr>
      <w:r>
        <w:rPr/>
      </w:r>
    </w:p>
    <w:p>
      <w:pPr>
        <w:pStyle w:val="Normal"/>
        <w:ind w:hanging="2835" w:start="2835" w:end="0"/>
        <w:jc w:val="both"/>
        <w:rPr/>
      </w:pPr>
      <w:r>
        <w:rPr>
          <w:b/>
        </w:rPr>
        <w:t>Attention:</w:t>
      </w:r>
      <w:r>
        <w:rPr/>
        <w:t xml:space="preserve"> </w:t>
        <w:tab/>
      </w:r>
      <w:r>
        <w:rPr>
          <w:rFonts w:cs="Book Antiqua" w:ascii="Book Antiqua" w:hAnsi="Book Antiqua"/>
          <w:b/>
        </w:rPr>
        <w:t xml:space="preserve">CLINT FREELAND </w:t>
      </w:r>
    </w:p>
    <w:p>
      <w:pPr>
        <w:pStyle w:val="Normal"/>
        <w:ind w:hanging="2835" w:start="2835" w:end="0"/>
        <w:jc w:val="both"/>
        <w:rPr/>
      </w:pPr>
      <w:r>
        <w:rPr/>
        <w:t xml:space="preserve"> </w:t>
      </w:r>
      <w:r>
        <w:rPr/>
        <w:tab/>
      </w:r>
      <w:r>
        <w:rPr>
          <w:rFonts w:cs="Book Antiqua" w:ascii="Book Antiqua" w:hAnsi="Book Antiqua"/>
        </w:rPr>
        <w:t xml:space="preserve">Telephone: </w:t>
      </w:r>
      <w:r>
        <w:rPr>
          <w:rFonts w:cs="Book Antiqua" w:ascii="Book Antiqua" w:hAnsi="Book Antiqua"/>
          <w:b/>
        </w:rPr>
        <w:t xml:space="preserve">713 345-7538     </w:t>
      </w:r>
      <w:r>
        <w:rPr>
          <w:rFonts w:cs="Book Antiqua" w:ascii="Book Antiqua" w:hAnsi="Book Antiqua"/>
        </w:rPr>
        <w:t>Fax:</w:t>
      </w:r>
      <w:r>
        <w:rPr>
          <w:rFonts w:cs="Book Antiqua" w:ascii="Book Antiqua" w:hAnsi="Book Antiqua"/>
          <w:b/>
        </w:rPr>
        <w:t xml:space="preserve"> 713 646-8517</w:t>
      </w:r>
    </w:p>
    <w:p>
      <w:pPr>
        <w:pStyle w:val="Normal"/>
        <w:ind w:hanging="2835" w:start="2835" w:end="0"/>
        <w:jc w:val="both"/>
        <w:rPr>
          <w:b/>
        </w:rPr>
      </w:pPr>
      <w:r>
        <w:rPr>
          <w:b/>
        </w:rPr>
      </w:r>
    </w:p>
    <w:p>
      <w:pPr>
        <w:pStyle w:val="Normal"/>
        <w:ind w:hanging="2835" w:start="2835" w:end="0"/>
        <w:jc w:val="both"/>
        <w:rPr/>
      </w:pPr>
      <w:r>
        <w:rPr>
          <w:b/>
        </w:rPr>
        <w:t>From:</w:t>
      </w:r>
      <w:r>
        <w:rPr/>
        <w:t xml:space="preserve"> </w:t>
        <w:tab/>
      </w:r>
      <w:r>
        <w:rPr>
          <w:b/>
        </w:rPr>
        <w:t>Merrill Lynch International (“ML” and “MLI”)</w:t>
      </w:r>
    </w:p>
    <w:p>
      <w:pPr>
        <w:pStyle w:val="Normal"/>
        <w:ind w:hanging="2835" w:start="2835" w:end="0"/>
        <w:jc w:val="both"/>
        <w:rPr/>
      </w:pPr>
      <w:r>
        <w:rPr/>
        <w:tab/>
        <w:t>tel: (212) 449-3149</w:t>
        <w:tab/>
        <w:t>fax: (212) 449-2697</w:t>
      </w:r>
    </w:p>
    <w:p>
      <w:pPr>
        <w:pStyle w:val="mijloc1"/>
        <w:tabs>
          <w:tab w:val="clear" w:pos="2160"/>
          <w:tab w:val="clear" w:pos="4320"/>
        </w:tabs>
        <w:spacing w:before="120" w:after="0"/>
        <w:rPr>
          <w:rFonts w:ascii="Times New Roman" w:hAnsi="Times New Roman" w:cs="Times New Roman"/>
          <w:lang w:val="en-GB"/>
        </w:rPr>
      </w:pPr>
      <w:r>
        <w:rPr>
          <w:rFonts w:cs="Times New Roman" w:ascii="Times New Roman" w:hAnsi="Times New Roman"/>
          <w:lang w:val="en-GB"/>
        </w:rPr>
        <w:t>Dear Sir / Madam,</w:t>
      </w:r>
    </w:p>
    <w:p>
      <w:pPr>
        <w:pStyle w:val="Normal"/>
        <w:spacing w:before="120" w:after="0"/>
        <w:ind w:firstLine="720" w:end="0"/>
        <w:rPr/>
      </w:pPr>
      <w:r>
        <w:rPr/>
        <w:t xml:space="preserve">The purpose of this communication is to set forth the terms and conditions of the termination of the Swap Transaction (“Transaction”), with an original Trade Date of June 28, 2000, between Counterparty and ML, </w:t>
      </w:r>
      <w:r>
        <w:rPr>
          <w:i/>
          <w:color w:val="0000FF"/>
        </w:rPr>
        <w:t>through its agent Merrill Lynch, Pierce, Fenner &amp; Smith Incorporated,</w:t>
      </w:r>
      <w:r>
        <w:rPr/>
        <w:t xml:space="preserve"> with the guarantee of Merrill Lynch &amp; Co., Inc., under the above ML referenced number.</w:t>
      </w:r>
    </w:p>
    <w:p>
      <w:pPr>
        <w:pStyle w:val="Normal"/>
        <w:spacing w:before="120" w:after="0"/>
        <w:rPr/>
      </w:pPr>
      <w:r>
        <w:rPr/>
        <w:t xml:space="preserve">In consideration of the payment of the Termination Amount on the Termination Settlement Date set forth below, all rights, duties, claims and obligations between ML and Counterparty under this Transaction following the Termination Settlement Date shall be hereby terminated.  </w:t>
      </w:r>
    </w:p>
    <w:p>
      <w:pPr>
        <w:pStyle w:val="Normal"/>
        <w:spacing w:before="120" w:after="0"/>
        <w:rPr/>
      </w:pPr>
      <w:r>
        <w:rPr/>
      </w:r>
    </w:p>
    <w:tbl>
      <w:tblPr>
        <w:tblW w:w="9180" w:type="dxa"/>
        <w:jc w:val="start"/>
        <w:tblInd w:w="0" w:type="dxa"/>
        <w:tblLayout w:type="fixed"/>
        <w:tblCellMar>
          <w:top w:w="0" w:type="dxa"/>
          <w:start w:w="108" w:type="dxa"/>
          <w:bottom w:w="0" w:type="dxa"/>
          <w:end w:w="108" w:type="dxa"/>
        </w:tblCellMar>
      </w:tblPr>
      <w:tblGrid>
        <w:gridCol w:w="5495"/>
        <w:gridCol w:w="3685"/>
      </w:tblGrid>
      <w:tr>
        <w:trPr/>
        <w:tc>
          <w:tcPr>
            <w:tcW w:w="5495" w:type="dxa"/>
            <w:tcBorders/>
          </w:tcPr>
          <w:p>
            <w:pPr>
              <w:pStyle w:val="Normal"/>
              <w:spacing w:before="240" w:after="0"/>
              <w:ind w:start="720" w:end="0"/>
              <w:rPr/>
            </w:pPr>
            <w:r>
              <w:rPr/>
              <w:t>Termination Date:</w:t>
            </w:r>
          </w:p>
        </w:tc>
        <w:tc>
          <w:tcPr>
            <w:tcW w:w="3685" w:type="dxa"/>
            <w:tcBorders/>
          </w:tcPr>
          <w:p>
            <w:pPr>
              <w:pStyle w:val="mijloc1"/>
              <w:tabs>
                <w:tab w:val="clear" w:pos="2160"/>
                <w:tab w:val="clear" w:pos="4320"/>
              </w:tabs>
              <w:spacing w:before="240" w:after="0"/>
              <w:rPr>
                <w:rFonts w:ascii="Times New Roman" w:hAnsi="Times New Roman" w:cs="Times New Roman"/>
                <w:lang w:val="en-GB"/>
              </w:rPr>
            </w:pPr>
            <w:r>
              <w:rPr>
                <w:rFonts w:cs="Times New Roman" w:ascii="Times New Roman" w:hAnsi="Times New Roman"/>
                <w:lang w:val="en-GB"/>
              </w:rPr>
              <w:t>As of August 4,  2000</w:t>
            </w:r>
          </w:p>
        </w:tc>
      </w:tr>
      <w:tr>
        <w:trPr/>
        <w:tc>
          <w:tcPr>
            <w:tcW w:w="5495" w:type="dxa"/>
            <w:tcBorders/>
          </w:tcPr>
          <w:p>
            <w:pPr>
              <w:pStyle w:val="Normal"/>
              <w:spacing w:before="120" w:after="0"/>
              <w:ind w:start="720" w:end="0"/>
              <w:rPr/>
            </w:pPr>
            <w:r>
              <w:rPr/>
              <w:t>Termination Settlement Date:</w:t>
            </w:r>
          </w:p>
        </w:tc>
        <w:tc>
          <w:tcPr>
            <w:tcW w:w="3685" w:type="dxa"/>
            <w:tcBorders/>
          </w:tcPr>
          <w:p>
            <w:pPr>
              <w:pStyle w:val="Normal"/>
              <w:spacing w:before="120" w:after="0"/>
              <w:rPr/>
            </w:pPr>
            <w:r>
              <w:rPr/>
              <w:t>November 17, 2000</w:t>
            </w:r>
          </w:p>
        </w:tc>
      </w:tr>
      <w:tr>
        <w:trPr/>
        <w:tc>
          <w:tcPr>
            <w:tcW w:w="5495" w:type="dxa"/>
            <w:tcBorders/>
          </w:tcPr>
          <w:p>
            <w:pPr>
              <w:pStyle w:val="Normal"/>
              <w:snapToGrid w:val="false"/>
              <w:ind w:start="720" w:end="0"/>
              <w:rPr/>
            </w:pPr>
            <w:r>
              <w:rPr/>
            </w:r>
          </w:p>
          <w:p>
            <w:pPr>
              <w:pStyle w:val="Normal"/>
              <w:ind w:start="720" w:end="0"/>
              <w:rPr/>
            </w:pPr>
            <w:r>
              <w:rPr/>
              <w:t xml:space="preserve">Termination Amount due to Counterparty by </w:t>
            </w:r>
          </w:p>
          <w:p>
            <w:pPr>
              <w:pStyle w:val="Normal"/>
              <w:spacing w:before="120" w:after="0"/>
              <w:ind w:start="709" w:end="0"/>
              <w:rPr/>
            </w:pPr>
            <w:r>
              <w:rPr/>
              <w:t xml:space="preserve"> </w:t>
            </w:r>
            <w:r>
              <w:rPr/>
              <w:t>on the Termination Settlement Date:</w:t>
            </w:r>
          </w:p>
        </w:tc>
        <w:tc>
          <w:tcPr>
            <w:tcW w:w="3685" w:type="dxa"/>
            <w:tcBorders/>
          </w:tcPr>
          <w:p>
            <w:pPr>
              <w:pStyle w:val="Normal"/>
              <w:snapToGrid w:val="false"/>
              <w:spacing w:before="120" w:after="0"/>
              <w:rPr/>
            </w:pPr>
            <w:r>
              <w:rPr/>
            </w:r>
          </w:p>
          <w:p>
            <w:pPr>
              <w:pStyle w:val="Normal"/>
              <w:spacing w:before="120" w:after="0"/>
              <w:rPr/>
            </w:pPr>
            <w:r>
              <w:rPr/>
              <w:t>USD 15,393,743.21</w:t>
            </w:r>
          </w:p>
        </w:tc>
      </w:tr>
    </w:tbl>
    <w:p>
      <w:pPr>
        <w:pStyle w:val="mijloc2"/>
        <w:tabs>
          <w:tab w:val="clear" w:pos="4320"/>
        </w:tabs>
        <w:ind w:hanging="3600" w:start="4320" w:end="0"/>
        <w:rPr>
          <w:rFonts w:ascii="Times New Roman" w:hAnsi="Times New Roman" w:cs="Times New Roman"/>
        </w:rPr>
      </w:pPr>
      <w:r>
        <w:rPr>
          <w:rFonts w:cs="Times New Roman" w:ascii="Times New Roman" w:hAnsi="Times New Roman"/>
        </w:rPr>
      </w:r>
    </w:p>
    <w:p>
      <w:pPr>
        <w:pStyle w:val="Normal"/>
        <w:tabs>
          <w:tab w:val="clear" w:pos="720"/>
          <w:tab w:val="left" w:pos="4320" w:leader="none"/>
        </w:tabs>
        <w:spacing w:before="60" w:after="0"/>
        <w:ind w:hanging="3600" w:start="4320" w:end="360"/>
        <w:rPr>
          <w:rFonts w:ascii="Times New Roman" w:hAnsi="Times New Roman" w:cs="Times New Roman"/>
        </w:rPr>
      </w:pPr>
      <w:r>
        <w:rPr>
          <w:rFonts w:cs="Times New Roman"/>
        </w:rPr>
      </w:r>
    </w:p>
    <w:p>
      <w:pPr>
        <w:pStyle w:val="Normal"/>
        <w:tabs>
          <w:tab w:val="clear" w:pos="720"/>
          <w:tab w:val="left" w:pos="4410" w:leader="none"/>
        </w:tabs>
        <w:spacing w:before="60" w:after="0"/>
        <w:ind w:hanging="3600" w:start="4320" w:end="360"/>
        <w:rPr>
          <w:b/>
        </w:rPr>
      </w:pPr>
      <w:r>
        <w:rPr>
          <w:b/>
        </w:rPr>
        <w:t>ORIGINAL TERMS OF TRANSACTION BEING TERMINATED:</w:t>
      </w:r>
    </w:p>
    <w:p>
      <w:pPr>
        <w:pStyle w:val="mijloc2"/>
        <w:tabs>
          <w:tab w:val="clear" w:pos="4320"/>
          <w:tab w:val="left" w:pos="4410" w:leader="none"/>
        </w:tabs>
        <w:spacing w:before="240" w:after="0"/>
        <w:ind w:hanging="3600" w:start="4320" w:end="360"/>
        <w:rPr>
          <w:rFonts w:ascii="Times New Roman" w:hAnsi="Times New Roman" w:cs="Times New Roman"/>
        </w:rPr>
      </w:pPr>
      <w:r>
        <w:rPr>
          <w:rFonts w:cs="Times New Roman" w:ascii="Times New Roman" w:hAnsi="Times New Roman"/>
        </w:rPr>
        <w:t xml:space="preserve">Original Trade Date: </w:t>
        <w:tab/>
        <w:t>June 28, 2000</w:t>
      </w:r>
    </w:p>
    <w:p>
      <w:pPr>
        <w:pStyle w:val="BodyText2"/>
        <w:tabs>
          <w:tab w:val="left" w:pos="-360" w:leader="none"/>
          <w:tab w:val="left" w:pos="4410" w:leader="none"/>
        </w:tabs>
        <w:ind w:end="360"/>
        <w:rPr>
          <w:rFonts w:ascii="Times New Roman" w:hAnsi="Times New Roman" w:cs="Times New Roman"/>
        </w:rPr>
      </w:pPr>
      <w:r>
        <w:rPr>
          <w:rFonts w:cs="Times New Roman"/>
        </w:rPr>
      </w:r>
    </w:p>
    <w:p>
      <w:pPr>
        <w:pStyle w:val="Normal"/>
        <w:tabs>
          <w:tab w:val="left" w:pos="720" w:leader="none"/>
          <w:tab w:val="left" w:pos="1980" w:leader="none"/>
          <w:tab w:val="left" w:pos="2880" w:leader="none"/>
          <w:tab w:val="left" w:pos="4410" w:leader="none"/>
        </w:tabs>
        <w:ind w:hanging="3600" w:start="4320" w:end="0"/>
        <w:rPr/>
      </w:pPr>
      <w:r>
        <w:rPr/>
        <w:t>Shares/Index:</w:t>
        <w:tab/>
        <w:t xml:space="preserve"> </w:t>
        <w:tab/>
        <w:tab/>
      </w:r>
      <w:r>
        <w:rPr>
          <w:rFonts w:cs="Book Antiqua" w:ascii="Book Antiqua" w:hAnsi="Book Antiqua"/>
        </w:rPr>
        <w:t xml:space="preserve">The common stock of ENRON CORP </w:t>
      </w:r>
    </w:p>
    <w:p>
      <w:pPr>
        <w:pStyle w:val="Normal"/>
        <w:tabs>
          <w:tab w:val="left" w:pos="720" w:leader="none"/>
          <w:tab w:val="left" w:pos="1980" w:leader="none"/>
          <w:tab w:val="left" w:pos="2880" w:leader="none"/>
          <w:tab w:val="left" w:pos="4410" w:leader="none"/>
        </w:tabs>
        <w:ind w:hanging="3600" w:start="4320" w:end="0"/>
        <w:rPr>
          <w:rFonts w:ascii="Book Antiqua" w:hAnsi="Book Antiqua" w:cs="Book Antiqua"/>
        </w:rPr>
      </w:pPr>
      <w:r>
        <w:rPr>
          <w:rFonts w:cs="Book Antiqua" w:ascii="Book Antiqua" w:hAnsi="Book Antiqua"/>
        </w:rPr>
        <w:tab/>
        <w:tab/>
        <w:tab/>
        <w:t xml:space="preserve">(Security Symbol: ENE) </w:t>
      </w:r>
    </w:p>
    <w:p>
      <w:pPr>
        <w:pStyle w:val="BlockText"/>
        <w:tabs>
          <w:tab w:val="clear" w:pos="720"/>
          <w:tab w:val="left" w:pos="4410" w:leader="none"/>
        </w:tabs>
        <w:ind w:end="360"/>
        <w:rPr/>
      </w:pPr>
      <w:r>
        <w:rPr/>
      </w:r>
    </w:p>
    <w:p>
      <w:pPr>
        <w:pStyle w:val="Normal"/>
        <w:tabs>
          <w:tab w:val="clear" w:pos="720"/>
          <w:tab w:val="left" w:pos="2880" w:leader="none"/>
          <w:tab w:val="left" w:pos="4410" w:leader="none"/>
        </w:tabs>
        <w:ind w:hanging="3600" w:start="4320" w:end="0"/>
        <w:jc w:val="both"/>
        <w:rPr/>
      </w:pPr>
      <w:r>
        <w:rPr/>
        <w:t>Equity Notional Amount:</w:t>
        <w:tab/>
        <w:tab/>
      </w:r>
      <w:r>
        <w:rPr>
          <w:rFonts w:cs="Book Antiqua" w:ascii="Book Antiqua" w:hAnsi="Book Antiqua"/>
        </w:rPr>
        <w:t>USD 94,303,113.76</w:t>
      </w:r>
      <w:r>
        <w:br w:type="page"/>
      </w:r>
    </w:p>
    <w:p>
      <w:pPr>
        <w:pStyle w:val="mijloc2"/>
        <w:ind w:hanging="3600" w:start="4320" w:end="360"/>
        <w:rPr>
          <w:rFonts w:ascii="Times New Roman" w:hAnsi="Times New Roman" w:cs="Times New Roman"/>
        </w:rPr>
      </w:pPr>
      <w:r>
        <w:rPr>
          <w:rFonts w:cs="Times New Roman" w:ascii="Times New Roman" w:hAnsi="Times New Roman"/>
        </w:rPr>
      </w:r>
    </w:p>
    <w:p>
      <w:pPr>
        <w:pStyle w:val="Normal"/>
        <w:rPr>
          <w:lang w:eastAsia="en-US"/>
        </w:rPr>
      </w:pPr>
      <w:r>
        <w:rPr>
          <w:lang w:eastAsia="en-US"/>
        </w:rPr>
        <w:t xml:space="preserve">Counterparty represents to MLI that: (a) Counterparty requested and MLI agreed to terminate the Transaction as of August 4, 2000; (b) Counterparty requested and MLI agreed to enter into a forward transaction with MLI on 1,388,100 Shares as of August 4, 2000 on the terms and conditions provided on the term sheet attached hereto as Exhibit 1; and (c) the books and records of Counterparty so reflect such transactions.    </w:t>
      </w:r>
    </w:p>
    <w:p>
      <w:pPr>
        <w:pStyle w:val="mijloc2"/>
        <w:tabs>
          <w:tab w:val="clear" w:pos="4320"/>
        </w:tabs>
        <w:ind w:start="0" w:end="0"/>
        <w:rPr>
          <w:lang w:eastAsia="en-US"/>
        </w:rPr>
      </w:pPr>
      <w:r>
        <w:rPr>
          <w:lang w:eastAsia="en-US"/>
        </w:rPr>
      </w:r>
    </w:p>
    <w:p>
      <w:pPr>
        <w:pStyle w:val="mijloc2"/>
        <w:tabs>
          <w:tab w:val="clear" w:pos="4320"/>
        </w:tabs>
        <w:ind w:start="0" w:end="0"/>
        <w:rPr/>
      </w:pPr>
      <w:r>
        <w:rPr>
          <w:rFonts w:cs="Times New Roman" w:ascii="Times New Roman" w:hAnsi="Times New Roman"/>
        </w:rPr>
        <w:t>Please confirm that the foregoing description of the terms of this Termination Agreement with a Termination Date as of August 4, 2000</w:t>
      </w:r>
      <w:r>
        <w:rPr/>
        <w:t xml:space="preserve"> </w:t>
      </w:r>
      <w:r>
        <w:rPr>
          <w:rFonts w:cs="Times New Roman" w:ascii="Times New Roman" w:hAnsi="Times New Roman"/>
        </w:rPr>
        <w:t xml:space="preserve">correctly sets forth the terms of our agreement by executing this communication and returning it to us by facsimile transmission to Attn: </w:t>
      </w:r>
      <w:r>
        <w:rPr/>
        <w:t>Anthony Grasso</w:t>
      </w:r>
      <w:r>
        <w:rPr>
          <w:rFonts w:cs="Times New Roman" w:ascii="Times New Roman" w:hAnsi="Times New Roman"/>
        </w:rPr>
        <w:t xml:space="preserve"> (Telecopier No.: 212-449-2697) (Telephone No.: 212-449-3867).</w:t>
      </w:r>
    </w:p>
    <w:p>
      <w:pPr>
        <w:pStyle w:val="Normal"/>
        <w:spacing w:before="120" w:after="0"/>
        <w:rPr>
          <w:rFonts w:ascii="Times New Roman" w:hAnsi="Times New Roman" w:cs="Times New Roman"/>
        </w:rPr>
      </w:pPr>
      <w:r>
        <w:rPr>
          <w:rFonts w:cs="Times New Roman"/>
        </w:rPr>
      </w:r>
    </w:p>
    <w:p>
      <w:pPr>
        <w:pStyle w:val="popou"/>
        <w:ind w:firstLine="4536" w:end="0"/>
        <w:rPr>
          <w:rFonts w:ascii="Times New Roman" w:hAnsi="Times New Roman" w:cs="Times New Roman"/>
        </w:rPr>
      </w:pPr>
      <w:r>
        <w:rPr>
          <w:rFonts w:cs="Times New Roman" w:ascii="Times New Roman" w:hAnsi="Times New Roman"/>
        </w:rPr>
        <w:t>Very truly yours,</w:t>
      </w:r>
    </w:p>
    <w:p>
      <w:pPr>
        <w:pStyle w:val="popou"/>
        <w:ind w:firstLine="4536" w:end="0"/>
        <w:rPr>
          <w:rFonts w:ascii="Times New Roman" w:hAnsi="Times New Roman" w:cs="Times New Roman"/>
          <w:b/>
        </w:rPr>
      </w:pPr>
      <w:r>
        <w:rPr>
          <w:rFonts w:cs="Times New Roman" w:ascii="Times New Roman" w:hAnsi="Times New Roman"/>
          <w:b/>
        </w:rPr>
        <w:t>MERRILL LYNCH INTERNATIONAL</w:t>
      </w:r>
    </w:p>
    <w:p>
      <w:pPr>
        <w:pStyle w:val="popou2"/>
        <w:spacing w:before="120" w:after="0"/>
        <w:rPr>
          <w:rFonts w:ascii="Times New Roman" w:hAnsi="Times New Roman" w:cs="Times New Roman"/>
          <w:b/>
        </w:rPr>
      </w:pPr>
      <w:r>
        <w:rPr>
          <w:rFonts w:cs="Times New Roman" w:ascii="Times New Roman" w:hAnsi="Times New Roman"/>
          <w:b/>
        </w:rPr>
      </w:r>
    </w:p>
    <w:p>
      <w:pPr>
        <w:pStyle w:val="popou2"/>
        <w:spacing w:before="120" w:after="0"/>
        <w:rPr>
          <w:rFonts w:ascii="Times New Roman" w:hAnsi="Times New Roman" w:cs="Times New Roman"/>
        </w:rPr>
      </w:pPr>
      <w:r>
        <w:rPr>
          <w:rFonts w:cs="Times New Roman" w:ascii="Times New Roman" w:hAnsi="Times New Roman"/>
        </w:rPr>
        <w:t>By: ___________________________________</w:t>
      </w:r>
    </w:p>
    <w:p>
      <w:pPr>
        <w:pStyle w:val="popou2"/>
        <w:tabs>
          <w:tab w:val="clear" w:pos="720"/>
          <w:tab w:val="left" w:pos="5760" w:leader="none"/>
        </w:tabs>
        <w:ind w:firstLine="4770" w:end="0"/>
        <w:rPr>
          <w:rFonts w:ascii="Times New Roman" w:hAnsi="Times New Roman" w:cs="Times New Roman"/>
        </w:rPr>
      </w:pPr>
      <w:r>
        <w:rPr>
          <w:rFonts w:cs="Times New Roman" w:ascii="Times New Roman" w:hAnsi="Times New Roman"/>
        </w:rPr>
        <w:t>Name:</w:t>
        <w:tab/>
      </w:r>
    </w:p>
    <w:p>
      <w:pPr>
        <w:pStyle w:val="popou2"/>
        <w:tabs>
          <w:tab w:val="clear" w:pos="720"/>
          <w:tab w:val="left" w:pos="5760" w:leader="none"/>
        </w:tabs>
        <w:ind w:firstLine="4770" w:end="0"/>
        <w:rPr>
          <w:rFonts w:ascii="Times New Roman" w:hAnsi="Times New Roman" w:cs="Times New Roman"/>
        </w:rPr>
      </w:pPr>
      <w:r>
        <w:rPr>
          <w:rFonts w:cs="Times New Roman" w:ascii="Times New Roman" w:hAnsi="Times New Roman"/>
        </w:rPr>
        <w:t>Title:</w:t>
        <w:tab/>
      </w:r>
    </w:p>
    <w:p>
      <w:pPr>
        <w:pStyle w:val="Normal"/>
        <w:spacing w:before="240" w:after="0"/>
        <w:rPr/>
      </w:pPr>
      <w:r>
        <w:rPr/>
        <w:t>Confirmed as of the date first</w:t>
      </w:r>
    </w:p>
    <w:p>
      <w:pPr>
        <w:pStyle w:val="Normal"/>
        <w:rPr/>
      </w:pPr>
      <w:r>
        <w:rPr/>
        <w:t>above written,</w:t>
      </w:r>
    </w:p>
    <w:p>
      <w:pPr>
        <w:pStyle w:val="Normal"/>
        <w:rPr/>
      </w:pPr>
      <w:r>
        <w:rPr/>
      </w:r>
    </w:p>
    <w:p>
      <w:pPr>
        <w:pStyle w:val="Normal"/>
        <w:rPr>
          <w:b/>
        </w:rPr>
      </w:pPr>
      <w:r>
        <w:rPr>
          <w:b/>
        </w:rPr>
        <w:t xml:space="preserve">ENRON NORTH AMERICA CORP.        </w:t>
      </w:r>
    </w:p>
    <w:p>
      <w:pPr>
        <w:pStyle w:val="Normal"/>
        <w:rPr>
          <w:b/>
        </w:rPr>
      </w:pPr>
      <w:r>
        <w:rPr>
          <w:b/>
        </w:rPr>
      </w:r>
    </w:p>
    <w:p>
      <w:pPr>
        <w:pStyle w:val="Normal"/>
        <w:spacing w:before="360" w:after="120"/>
        <w:rPr/>
      </w:pPr>
      <w:r>
        <w:rPr/>
        <w:t>By:___________________________________</w:t>
      </w:r>
    </w:p>
    <w:p>
      <w:pPr>
        <w:pStyle w:val="Normal"/>
        <w:ind w:firstLine="270" w:end="0"/>
        <w:rPr/>
      </w:pPr>
      <w:r>
        <w:rPr/>
        <w:t>Name:</w:t>
      </w:r>
    </w:p>
    <w:p>
      <w:pPr>
        <w:pStyle w:val="Normal"/>
        <w:ind w:firstLine="270" w:end="0"/>
        <w:rPr/>
      </w:pPr>
      <w:r>
        <w:rPr/>
        <w:t>Title: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240" w:after="240"/>
      <w:jc w:val="center"/>
    </w:pPr>
    <w:rPr>
      <w:b/>
      <w:u w:val="single"/>
      <w:lang w:val="en-GB"/>
    </w:rPr>
  </w:style>
  <w:style w:type="paragraph" w:styleId="Index">
    <w:name w:val="Index"/>
    <w:basedOn w:val="Normal"/>
    <w:qFormat/>
    <w:pPr>
      <w:suppressLineNumbers/>
    </w:pPr>
    <w:rPr>
      <w:rFonts w:cs="NotoSans NF"/>
    </w:rPr>
  </w:style>
  <w:style w:type="paragraph" w:styleId="cap">
    <w:name w:val="cap"/>
    <w:basedOn w:val="Normal"/>
    <w:qFormat/>
    <w:pPr>
      <w:ind w:firstLine="5760" w:start="0" w:end="0"/>
    </w:pPr>
    <w:rPr>
      <w:rFonts w:ascii="Book Antiqua" w:hAnsi="Book Antiqua" w:cs="Book Antiqua"/>
    </w:rPr>
  </w:style>
  <w:style w:type="paragraph" w:styleId="mijloc1">
    <w:name w:val="mijloc1"/>
    <w:basedOn w:val="Normal"/>
    <w:qFormat/>
    <w:pPr>
      <w:tabs>
        <w:tab w:val="clear" w:pos="720"/>
        <w:tab w:val="left" w:pos="2160" w:leader="none"/>
        <w:tab w:val="left" w:pos="4320" w:leader="none"/>
      </w:tabs>
    </w:pPr>
    <w:rPr>
      <w:rFonts w:ascii="Book Antiqua" w:hAnsi="Book Antiqua" w:cs="Book Antiqua"/>
    </w:rPr>
  </w:style>
  <w:style w:type="paragraph" w:styleId="mijloc2">
    <w:name w:val="mijloc2"/>
    <w:basedOn w:val="Normal"/>
    <w:qFormat/>
    <w:pPr>
      <w:tabs>
        <w:tab w:val="clear" w:pos="720"/>
        <w:tab w:val="left" w:pos="4320" w:leader="none"/>
      </w:tabs>
      <w:ind w:hanging="0" w:start="720" w:end="0"/>
    </w:pPr>
    <w:rPr>
      <w:rFonts w:ascii="Book Antiqua" w:hAnsi="Book Antiqua" w:cs="Book Antiqua"/>
    </w:rPr>
  </w:style>
  <w:style w:type="paragraph" w:styleId="popou">
    <w:name w:val="popou"/>
    <w:basedOn w:val="Normal"/>
    <w:qFormat/>
    <w:pPr>
      <w:spacing w:before="120" w:after="120"/>
      <w:ind w:firstLine="4320" w:start="0" w:end="0"/>
    </w:pPr>
    <w:rPr>
      <w:rFonts w:ascii="Book Antiqua" w:hAnsi="Book Antiqua" w:cs="Book Antiqua"/>
    </w:rPr>
  </w:style>
  <w:style w:type="paragraph" w:styleId="popou2">
    <w:name w:val="popou2"/>
    <w:basedOn w:val="Normal"/>
    <w:qFormat/>
    <w:pPr>
      <w:ind w:firstLine="4594" w:start="0" w:end="0"/>
    </w:pPr>
    <w:rPr>
      <w:rFonts w:ascii="Book Antiqua" w:hAnsi="Book Antiqua" w:cs="Book Antiqua"/>
    </w:rPr>
  </w:style>
  <w:style w:type="paragraph" w:styleId="BodyText2">
    <w:name w:val="Body Text 2"/>
    <w:basedOn w:val="Normal"/>
    <w:qFormat/>
    <w:pPr>
      <w:tabs>
        <w:tab w:val="clear" w:pos="720"/>
        <w:tab w:val="left" w:pos="-360" w:leader="none"/>
      </w:tabs>
      <w:ind w:hanging="3600" w:start="4320" w:end="0"/>
    </w:pPr>
    <w:rPr>
      <w:lang w:val="en-GB"/>
    </w:rPr>
  </w:style>
  <w:style w:type="paragraph" w:styleId="BlockText">
    <w:name w:val="Block Text"/>
    <w:basedOn w:val="Normal"/>
    <w:qFormat/>
    <w:pPr>
      <w:ind w:hanging="3600" w:start="4320" w:end="1350"/>
      <w:jc w:val="both"/>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2000-11-14T18:12:00Z</dcterms:created>
  <dc:creator>Merrill Lynch</dc:creator>
  <dc:description/>
  <dc:language>en-CA</dc:language>
  <cp:lastModifiedBy>Merrill Lynch</cp:lastModifiedBy>
  <dcterms:modified xsi:type="dcterms:W3CDTF">2000-11-14T18:12:00Z</dcterms:modified>
  <cp:revision>2</cp:revision>
  <dc:subject/>
  <dc:title> </dc:title>
</cp:coreProperties>
</file>