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ENRON Meeting</w:t>
      </w:r>
    </w:p>
    <w:p>
      <w:pPr>
        <w:pStyle w:val="Normal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March 15, 2000</w:t>
      </w:r>
    </w:p>
    <w:p>
      <w:pPr>
        <w:pStyle w:val="Normal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1:30PM – 3:30PM</w:t>
      </w:r>
    </w:p>
    <w:p>
      <w:pPr>
        <w:pStyle w:val="Normal"/>
        <w:jc w:val="center"/>
        <w:rPr>
          <w:b/>
          <w:i/>
          <w:i/>
          <w:sz w:val="32"/>
        </w:rPr>
      </w:pPr>
      <w:r>
        <w:rPr>
          <w:b/>
          <w:i/>
          <w:sz w:val="32"/>
        </w:rPr>
        <w:t>The Highland Room – Four Seasons Hotel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Order 637 Implications</w:t>
        <w:tab/>
        <w:tab/>
        <w:tab/>
        <w:tab/>
        <w:tab/>
        <w:tab/>
        <w:t>(Adams / Watkins)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ROFR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“</w:t>
      </w:r>
      <w:r>
        <w:rPr>
          <w:sz w:val="28"/>
        </w:rPr>
        <w:t>In The Path” / Market Area Allocations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Segmentation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OPT – 60 Capacity</w:t>
        <w:tab/>
        <w:tab/>
        <w:tab/>
        <w:tab/>
        <w:tab/>
        <w:tab/>
        <w:tab/>
        <w:t>(Adams)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40 MDth/day to CALP Facility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40 MDth/day to Hopewell Facility via Emporia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Typical Summer Operations in Virginia</w:t>
        <w:tab/>
        <w:tab/>
        <w:tab/>
        <w:t>(Christian)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Loading for a Summer Day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Temperature Sensitivity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numPr>
          <w:ilvl w:val="0"/>
          <w:numId w:val="5"/>
        </w:numPr>
        <w:ind w:hanging="0" w:start="0"/>
        <w:rPr>
          <w:sz w:val="28"/>
        </w:rPr>
      </w:pPr>
      <w:r>
        <w:rPr>
          <w:sz w:val="28"/>
        </w:rPr>
        <w:t>Other Issues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ebdings">
    <w:charset w:val="0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8"/>
        <w:i w:val="false"/>
        <w:b w:val="false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8"/>
        <w:i w:val="false"/>
        <w:b w:val="false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8"/>
        <w:i w:val="false"/>
        <w:b w:val="false"/>
        <w:color w:val="auto"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5"/>
      </w:numPr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2z0">
    <w:name w:val="WW8Num2z0"/>
    <w:qFormat/>
    <w:rPr>
      <w:rFonts w:ascii="Webdings" w:hAnsi="Webdings" w:cs="Verdana"/>
      <w:b w:val="false"/>
      <w:i w:val="false"/>
      <w:color w:val="auto"/>
      <w:sz w:val="28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b w:val="false"/>
      <w:i w:val="false"/>
      <w:color w:val="auto"/>
      <w:sz w:val="28"/>
    </w:rPr>
  </w:style>
  <w:style w:type="character" w:styleId="WW8Num5z0">
    <w:name w:val="WW8Num5z0"/>
    <w:qFormat/>
    <w:rPr>
      <w:rFonts w:ascii="Symbol" w:hAnsi="Symbol" w:cs="Symbol"/>
      <w:b w:val="false"/>
      <w:i w:val="false"/>
      <w:color w:val="auto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2000-03-13T11:50:00Z</dcterms:created>
  <dc:creator>tco0192</dc:creator>
  <dc:description/>
  <dc:language>en-CA</dc:language>
  <cp:lastModifiedBy>tco0192</cp:lastModifiedBy>
  <dcterms:modified xsi:type="dcterms:W3CDTF">2000-03-13T12:00:00Z</dcterms:modified>
  <cp:revision>1</cp:revision>
  <dc:subject/>
  <dc:title>ENRON Meeting</dc:title>
</cp:coreProperties>
</file>