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tab/>
        <w:tab/>
        <w:tab/>
        <w:tab/>
        <w:tab/>
        <w:tab/>
        <w:tab/>
        <w:tab/>
        <w:tab/>
        <w:tab/>
        <w:t>DRAFT</w:t>
      </w:r>
    </w:p>
    <w:p>
      <w:pPr>
        <w:pStyle w:val="Normal"/>
        <w:rPr>
          <w:b/>
          <w:bCs/>
          <w:sz w:val="40"/>
          <w:szCs w:val="40"/>
        </w:rPr>
      </w:pPr>
      <w:r>
        <w:rPr>
          <w:b/>
          <w:bCs/>
          <w:sz w:val="40"/>
          <w:szCs w:val="40"/>
        </w:rPr>
      </w:r>
    </w:p>
    <w:p>
      <w:pPr>
        <w:pStyle w:val="Normal"/>
        <w:jc w:val="center"/>
        <w:rPr>
          <w:b/>
          <w:bCs/>
        </w:rPr>
      </w:pPr>
      <w:r>
        <w:rPr>
          <w:b/>
          <w:bCs/>
        </w:rPr>
        <w:t>CONFIDENTIALITY AGREEMENT</w:t>
      </w:r>
    </w:p>
    <w:p>
      <w:pPr>
        <w:pStyle w:val="Normal"/>
        <w:jc w:val="center"/>
        <w:rPr>
          <w:b/>
          <w:bCs/>
        </w:rPr>
      </w:pPr>
      <w:r>
        <w:rPr>
          <w:b/>
          <w:bCs/>
        </w:rPr>
      </w:r>
    </w:p>
    <w:p>
      <w:pPr>
        <w:pStyle w:val="Normal"/>
        <w:jc w:val="center"/>
        <w:rPr>
          <w:b/>
          <w:bCs/>
        </w:rPr>
      </w:pPr>
      <w:r>
        <w:rPr>
          <w:b/>
          <w:bCs/>
        </w:rPr>
      </w:r>
    </w:p>
    <w:p>
      <w:pPr>
        <w:pStyle w:val="Normal"/>
        <w:rPr>
          <w:b/>
          <w:bCs/>
        </w:rPr>
      </w:pPr>
      <w:r>
        <w:rPr>
          <w:b/>
          <w:bCs/>
        </w:rPr>
      </w:r>
    </w:p>
    <w:p>
      <w:pPr>
        <w:pStyle w:val="Normal"/>
        <w:ind w:firstLine="720" w:end="0"/>
        <w:jc w:val="both"/>
        <w:rPr/>
      </w:pPr>
      <w:r>
        <w:rPr>
          <w:b/>
          <w:bCs/>
        </w:rPr>
        <w:t xml:space="preserve">THIS </w:t>
      </w:r>
      <w:r>
        <w:rPr>
          <w:b/>
          <w:bCs/>
          <w:strike/>
        </w:rPr>
        <w:t>AGREEMENT</w:t>
      </w:r>
      <w:r>
        <w:rPr>
          <w:b/>
          <w:bCs/>
          <w:u w:val="double"/>
        </w:rPr>
        <w:t>“AGREEMENT”</w:t>
      </w:r>
      <w:r>
        <w:rPr>
          <w:b/>
          <w:bCs/>
        </w:rPr>
        <w:t xml:space="preserve"> </w:t>
      </w:r>
      <w:r>
        <w:rPr/>
        <w:t xml:space="preserve">is made and entered into this </w:t>
      </w:r>
      <w:r>
        <w:rPr>
          <w:u w:val="single"/>
        </w:rPr>
        <w:t xml:space="preserve">              </w:t>
      </w:r>
      <w:r>
        <w:rPr/>
        <w:t xml:space="preserve"> day of </w:t>
      </w:r>
      <w:r>
        <w:rPr>
          <w:u w:val="single"/>
        </w:rPr>
        <w:t xml:space="preserve">                       </w:t>
      </w:r>
      <w:r>
        <w:rPr/>
        <w:t xml:space="preserve">, 2000 between </w:t>
      </w:r>
      <w:r>
        <w:rPr>
          <w:b/>
          <w:bCs/>
        </w:rPr>
        <w:t xml:space="preserve">TRI-STATE GENERATION AND TRANSMISSION ASSOCIATION, INC. </w:t>
      </w:r>
      <w:r>
        <w:rPr/>
        <w:t xml:space="preserve">a Colorado cooperative corporation ("Tri-State"), and </w:t>
      </w:r>
      <w:r>
        <w:rPr>
          <w:b/>
          <w:bCs/>
        </w:rPr>
        <w:t xml:space="preserve">ECS COMPRESSION COMPANY, L.L.C. </w:t>
      </w:r>
      <w:r>
        <w:rPr>
          <w:b/>
          <w:bCs/>
          <w:u w:val="double"/>
        </w:rPr>
        <w:t>(“ECC”)</w:t>
      </w:r>
      <w:r>
        <w:rPr>
          <w:b/>
          <w:bCs/>
        </w:rPr>
        <w:t xml:space="preserve"> </w:t>
      </w:r>
      <w:r>
        <w:rPr/>
        <w:t xml:space="preserve">a Delaware limited liability company and </w:t>
      </w:r>
      <w:r>
        <w:rPr>
          <w:b/>
          <w:bCs/>
        </w:rPr>
        <w:t xml:space="preserve">TRANSWESTERN PIPELINE COMPANY </w:t>
      </w:r>
      <w:r>
        <w:rPr>
          <w:b/>
          <w:bCs/>
          <w:u w:val="double"/>
        </w:rPr>
        <w:t>(“TW”)</w:t>
      </w:r>
      <w:r>
        <w:rPr>
          <w:b/>
          <w:bCs/>
        </w:rPr>
        <w:t xml:space="preserve"> </w:t>
      </w:r>
      <w:r>
        <w:rPr/>
        <w:t xml:space="preserve">a Delaware corporation, </w:t>
      </w:r>
      <w:r>
        <w:rPr>
          <w:strike/>
        </w:rPr>
        <w:t>(collectively</w:t>
      </w:r>
      <w:r>
        <w:rPr>
          <w:b/>
          <w:bCs/>
          <w:u w:val="double"/>
        </w:rPr>
        <w:t>(ECC and TW collectively referred to as</w:t>
      </w:r>
      <w:r>
        <w:rPr/>
        <w:t xml:space="preserve"> "Enron").</w:t>
      </w:r>
    </w:p>
    <w:p>
      <w:pPr>
        <w:pStyle w:val="Normal"/>
        <w:jc w:val="both"/>
        <w:rPr/>
      </w:pPr>
      <w:r>
        <w:rPr/>
      </w:r>
    </w:p>
    <w:p>
      <w:pPr>
        <w:pStyle w:val="Normal"/>
        <w:ind w:firstLine="720" w:end="0"/>
        <w:jc w:val="both"/>
        <w:rPr/>
      </w:pPr>
      <w:r>
        <w:rPr>
          <w:b/>
          <w:bCs/>
        </w:rPr>
        <w:t>WHEREAS</w:t>
      </w:r>
      <w:r>
        <w:rPr/>
        <w:t xml:space="preserve">, </w:t>
      </w:r>
      <w:r>
        <w:rPr>
          <w:strike/>
        </w:rPr>
        <w:t>Enron</w:t>
      </w:r>
      <w:r>
        <w:rPr/>
        <w:t xml:space="preserve"> </w:t>
      </w:r>
      <w:r>
        <w:rPr>
          <w:b/>
          <w:bCs/>
          <w:u w:val="double"/>
        </w:rPr>
        <w:t>ECC</w:t>
      </w:r>
      <w:r>
        <w:rPr/>
        <w:t xml:space="preserve"> has entered into a contract with Tri-State's Member Continental Divide Electric Cooperative, Inc.; </w:t>
      </w:r>
    </w:p>
    <w:p>
      <w:pPr>
        <w:pStyle w:val="Normal"/>
        <w:jc w:val="both"/>
        <w:rPr/>
      </w:pPr>
      <w:r>
        <w:rPr/>
      </w:r>
    </w:p>
    <w:p>
      <w:pPr>
        <w:pStyle w:val="Normal"/>
        <w:ind w:firstLine="720" w:end="0"/>
        <w:jc w:val="both"/>
        <w:rPr/>
      </w:pPr>
      <w:r>
        <w:rPr>
          <w:b/>
          <w:bCs/>
        </w:rPr>
        <w:t>WHEREAS</w:t>
      </w:r>
      <w:r>
        <w:rPr/>
        <w:t>, to further the purposes of the contract with Continental Divide, Enron wishes to have access to Tri-State's password protected website features;</w:t>
      </w:r>
    </w:p>
    <w:p>
      <w:pPr>
        <w:pStyle w:val="Normal"/>
        <w:jc w:val="both"/>
        <w:rPr/>
      </w:pPr>
      <w:r>
        <w:rPr/>
      </w:r>
    </w:p>
    <w:p>
      <w:pPr>
        <w:pStyle w:val="Normal"/>
        <w:ind w:firstLine="720" w:end="0"/>
        <w:jc w:val="both"/>
        <w:rPr/>
      </w:pPr>
      <w:r>
        <w:rPr>
          <w:b/>
          <w:bCs/>
        </w:rPr>
        <w:t>WHEREAS</w:t>
      </w:r>
      <w:r>
        <w:rPr/>
        <w:t>,</w:t>
      </w:r>
      <w:r>
        <w:rPr>
          <w:b/>
          <w:bCs/>
        </w:rPr>
        <w:t xml:space="preserve"> </w:t>
      </w:r>
      <w:r>
        <w:rPr/>
        <w:t>the information contained in Tri-State's password protected website features is confidential; and</w:t>
      </w:r>
    </w:p>
    <w:p>
      <w:pPr>
        <w:pStyle w:val="Normal"/>
        <w:ind w:firstLine="720" w:end="0"/>
        <w:jc w:val="both"/>
        <w:rPr/>
      </w:pPr>
      <w:r>
        <w:rPr/>
      </w:r>
    </w:p>
    <w:p>
      <w:pPr>
        <w:pStyle w:val="Normal"/>
        <w:ind w:firstLine="720" w:end="0"/>
        <w:jc w:val="both"/>
        <w:rPr/>
      </w:pPr>
      <w:r>
        <w:rPr>
          <w:b/>
          <w:bCs/>
        </w:rPr>
        <w:t>WHEREAS</w:t>
      </w:r>
      <w:r>
        <w:rPr/>
        <w:t>, Tri-State wishes to protect Confidential Information (as hereinafter defined) against any unauthorized use or disclosure.</w:t>
      </w:r>
    </w:p>
    <w:p>
      <w:pPr>
        <w:pStyle w:val="Normal"/>
        <w:ind w:firstLine="720" w:end="0"/>
        <w:jc w:val="both"/>
        <w:rPr>
          <w:b/>
          <w:bCs/>
        </w:rPr>
      </w:pPr>
      <w:r>
        <w:rPr>
          <w:b/>
          <w:bCs/>
        </w:rPr>
      </w:r>
    </w:p>
    <w:p>
      <w:pPr>
        <w:pStyle w:val="Normal"/>
        <w:ind w:firstLine="720" w:end="0"/>
        <w:jc w:val="both"/>
        <w:rPr/>
      </w:pPr>
      <w:r>
        <w:rPr>
          <w:b/>
          <w:bCs/>
        </w:rPr>
        <w:t>NOW, THEREFORE</w:t>
      </w:r>
      <w:r>
        <w:rPr/>
        <w:t>, for good and valuable consideration, the receipt and sufficiency of which is hereby acknowledged, Tri-State and Enron hereby agree as follows:</w:t>
      </w:r>
    </w:p>
    <w:p>
      <w:pPr>
        <w:pStyle w:val="Normal"/>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2.</w:t>
        <w:tab/>
      </w:r>
      <w:r>
        <w:rPr>
          <w:u w:val="single"/>
        </w:rPr>
        <w:t>OBLIGATION OF CONFIDENTIALITY</w:t>
      </w:r>
      <w:r>
        <w:rPr/>
        <w:t xml:space="preserve">.   Except as required by any law, governmental entity, court or tribunal of competent jurisdiction, Enron shall not disclose to any third party (other than Enron's attorneys, consultants, employees, representatives, agents or board members </w:t>
      </w:r>
      <w:r>
        <w:rPr>
          <w:strike/>
        </w:rPr>
        <w:t>on a need to know basis</w:t>
      </w:r>
      <w:r>
        <w:rPr/>
        <w:t xml:space="preserve"> </w:t>
      </w:r>
      <w:r>
        <w:rPr>
          <w:b/>
          <w:bCs/>
          <w:u w:val="double"/>
        </w:rPr>
        <w:t>as required</w:t>
      </w:r>
      <w:r>
        <w:rPr/>
        <w:t xml:space="preserve"> for the specific purpose of controlling </w:t>
      </w:r>
      <w:r>
        <w:rPr>
          <w:strike/>
        </w:rPr>
        <w:t>this compressor stations</w:t>
      </w:r>
      <w:r>
        <w:rPr/>
        <w:t xml:space="preserve"> </w:t>
      </w:r>
      <w:r>
        <w:rPr>
          <w:b/>
          <w:bCs/>
          <w:u w:val="double"/>
        </w:rPr>
        <w:t>TW</w:t>
      </w:r>
      <w:r>
        <w:rPr/>
        <w:t>’</w:t>
      </w:r>
      <w:r>
        <w:rPr>
          <w:b/>
          <w:bCs/>
          <w:u w:val="double"/>
        </w:rPr>
        <w:t>s Gallup Compressor Station</w:t>
      </w:r>
      <w:r>
        <w:rPr/>
        <w:t>’</w:t>
      </w:r>
      <w:r>
        <w:rPr>
          <w:b/>
          <w:bCs/>
          <w:u w:val="double"/>
        </w:rPr>
        <w:t>s</w:t>
      </w:r>
      <w:r>
        <w:rPr/>
        <w:t xml:space="preserve"> loads against the Tri-State peak, who shall be under a duty of confidentiality and </w:t>
      </w:r>
      <w:r>
        <w:rPr>
          <w:strike/>
        </w:rPr>
        <w:t>agree to be</w:t>
      </w:r>
      <w:r>
        <w:rPr/>
        <w:t xml:space="preserve">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w:t>
      </w:r>
      <w:r>
        <w:rPr>
          <w:strike/>
        </w:rPr>
        <w:t>Enron shall be strictly liable to Tri-State for any damages resulting from the breach of this Agreement by it, its attorneys, consultants, employees, representatives, agents or board members. The obligations of Enron under this paragraph shall survive the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5.</w:t>
        <w:tab/>
      </w:r>
      <w:r>
        <w:rPr>
          <w:u w:val="single"/>
        </w:rPr>
        <w:t>TERMINATION</w:t>
      </w:r>
      <w:r>
        <w:rPr/>
        <w:t xml:space="preserve">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6.</w:t>
        <w:tab/>
      </w:r>
      <w:r>
        <w:rPr>
          <w:u w:val="single"/>
        </w:rPr>
        <w:t>ENFORCEMENT</w:t>
      </w:r>
      <w:r>
        <w:rPr/>
        <w:t xml:space="preserve">.    The parties agree that money damages may not be a sufficient remedy for breach of this Agreement, and the non-breaching party shall be entitled to any available remedy, including, but not limited to, injunctive relief or specific performance </w:t>
      </w:r>
      <w:r>
        <w:rPr>
          <w:b/>
          <w:bCs/>
          <w:u w:val="double"/>
        </w:rPr>
        <w:t>provided, notwithstanding any other provision herein, Tri-State agrees that Enron shall not be liable for consequential, punitive or exemplary damages, whether founded in tort, contract or otherwise, in respect of the disclosure or use of any information furnished to Enron by Tri-State under this Agreement</w:t>
      </w:r>
      <w:r>
        <w:rPr/>
        <w:t xml:space="preserve">.  Any action to enforce this Agreement shall be commenced no later than </w:t>
      </w:r>
      <w:r>
        <w:rPr>
          <w:strike/>
        </w:rPr>
        <w:t>three years</w:t>
      </w:r>
      <w:r>
        <w:rPr/>
        <w:t xml:space="preserve"> </w:t>
      </w:r>
      <w:r>
        <w:rPr>
          <w:b/>
          <w:bCs/>
          <w:u w:val="double"/>
        </w:rPr>
        <w:t>one year</w:t>
      </w:r>
      <w:r>
        <w:rPr/>
        <w:t xml:space="preserve">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 xml:space="preserve">b.  This Agreement shall be governed in all respects by the laws of the State of </w:t>
      </w:r>
      <w:r>
        <w:rPr>
          <w:strike/>
        </w:rPr>
        <w:t>Colorado</w:t>
      </w:r>
      <w:r>
        <w:rPr/>
        <w:t xml:space="preserve"> </w:t>
      </w:r>
      <w:r>
        <w:rPr>
          <w:b/>
          <w:bCs/>
          <w:u w:val="double"/>
        </w:rPr>
        <w:t>Texas</w:t>
      </w:r>
      <w:r>
        <w:rPr/>
        <w: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BodyTextIndent"/>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b/>
          <w:bCs/>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smallCaps/>
              </w:rPr>
            </w:pPr>
            <w:r>
              <w:rPr>
                <w:b/>
                <w:bCs/>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 xml:space="preserve"> </w:t>
              <w:tab/>
            </w:r>
          </w:p>
          <w:p>
            <w:pPr>
              <w:pStyle w:val="Normal"/>
              <w:tabs>
                <w:tab w:val="clear" w:pos="720"/>
                <w:tab w:val="right" w:pos="4320" w:leader="none"/>
                <w:tab w:val="left" w:pos="4770" w:leader="none"/>
                <w:tab w:val="left" w:pos="5760" w:leader="none"/>
              </w:tabs>
              <w:rPr/>
            </w:pPr>
            <w:r>
              <w:rPr/>
            </w:r>
          </w:p>
          <w:p>
            <w:pPr>
              <w:pStyle w:val="Normal"/>
              <w:tabs>
                <w:tab w:val="clear" w:pos="720"/>
                <w:tab w:val="right" w:pos="4320" w:leader="underscore"/>
              </w:tabs>
              <w:rPr/>
            </w:pPr>
            <w:r>
              <w:rPr/>
              <w:t xml:space="preserve">Title:  </w:t>
              <w:tab/>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smallCaps/>
              </w:rPr>
            </w:pPr>
            <w:r>
              <w:rPr>
                <w:b/>
                <w:bCs/>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b/>
                <w:bCs/>
              </w:rPr>
              <w:t xml:space="preserve">   </w:t>
            </w:r>
            <w:r>
              <w:rPr>
                <w:b/>
                <w:bCs/>
                <w:u w:val="double"/>
              </w:rPr>
              <w:t>by Enron Compression Services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rPr>
            </w:pPr>
            <w:r>
              <w:rPr/>
              <w:t xml:space="preserve">   </w:t>
            </w:r>
            <w:r>
              <w:rPr>
                <w:b/>
                <w:bCs/>
                <w:u w:val="double"/>
              </w:rPr>
              <w:t>its Managing Member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rPr>
            </w:pPr>
            <w:r>
              <w:rPr>
                <w:b/>
                <w:bCs/>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r>
        <w:trPr/>
        <w:tc>
          <w:tcPr>
            <w:tcW w:w="4788" w:type="dxa"/>
            <w:tcBorders/>
          </w:tcPr>
          <w:p>
            <w:pPr>
              <w:pStyle w:val="Normal"/>
              <w:tabs>
                <w:tab w:val="clear" w:pos="720"/>
                <w:tab w:val="right" w:pos="4320" w:leader="underscore"/>
              </w:tabs>
              <w:snapToGrid w:val="false"/>
              <w:rPr/>
            </w:pPr>
            <w:r>
              <w:rPr/>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smallCaps/>
              </w:rPr>
            </w:pPr>
            <w:r>
              <w:rPr>
                <w:b/>
                <w:bCs/>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smallCaps/>
              </w:rPr>
            </w:pPr>
            <w:r>
              <w:rPr>
                <w:b/>
                <w:bCs/>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rPr>
            </w:pPr>
            <w:r>
              <w:rPr>
                <w:b/>
                <w:bC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original document   : O:\LEGAL\GNEMEC\COMPRESSION SERVICES\GALLUP\ENRON DRAFT CONF.AGREEMENT 8-18.DOC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and revised document: O:\LEGAL\GNEMEC\COMPRESSION SERVICES\GALLUP\ENRON DRAFT CONF.AGREEMENT 8-22.DOC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CompareRite found   13 change(s) in the text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Deletions appear as Overstrike text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Additions appear as Bold+Dbl Underline text </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46685"/>
              <wp:effectExtent l="0" t="0" r="0" b="0"/>
              <wp:wrapTopAndBottom/>
              <wp:docPr id="1"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szCs w:val="40"/>
    </w:rPr>
  </w:style>
  <w:style w:type="character" w:styleId="DefaultParagraphFont">
    <w:name w:val="Default Paragraph Font"/>
    <w:qFormat/>
    <w:rPr/>
  </w:style>
  <w:style w:type="character" w:styleId="FootnoteCharacters">
    <w:name w:val="Footnote Characters"/>
    <w:basedOn w:val="DefaultParagraphFont"/>
    <w:qFormat/>
    <w:rPr>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2000-09-01T13:31:00Z</dcterms:created>
  <dc:creator>davnoc</dc:creator>
  <dc:description/>
  <dc:language>en-CA</dc:language>
  <cp:lastModifiedBy>gnemec</cp:lastModifiedBy>
  <cp:lastPrinted>2000-08-15T10:32:00Z</cp:lastPrinted>
  <dcterms:modified xsi:type="dcterms:W3CDTF">2000-09-01T13:31:00Z</dcterms:modified>
  <cp:revision>2</cp:revision>
  <dc:subject/>
  <dc:title>CONFIDENTIALITY AGREEMENT</dc:title>
</cp:coreProperties>
</file>