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432"/>
          <w:tab w:val="left" w:pos="180" w:leader="none"/>
          <w:tab w:val="left" w:pos="720" w:leader="none"/>
        </w:tabs>
        <w:rPr>
          <w:rFonts w:ascii="Arial" w:hAnsi="Arial" w:cs="Arial"/>
          <w:b/>
          <w:sz w:val="28"/>
        </w:rPr>
      </w:pPr>
      <w:r>
        <w:rPr>
          <w:rFonts w:cs="Arial" w:ascii="Arial" w:hAnsi="Arial"/>
          <w:b/>
          <w:sz w:val="28"/>
        </w:rPr>
        <w:drawing>
          <wp:inline distT="0" distB="0" distL="0" distR="0">
            <wp:extent cx="1187450" cy="5988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46" r="-23" b="-46"/>
                    <a:stretch>
                      <a:fillRect/>
                    </a:stretch>
                  </pic:blipFill>
                  <pic:spPr bwMode="auto">
                    <a:xfrm>
                      <a:off x="0" y="0"/>
                      <a:ext cx="1187450" cy="598805"/>
                    </a:xfrm>
                    <a:prstGeom prst="rect">
                      <a:avLst/>
                    </a:prstGeom>
                    <a:noFill/>
                  </pic:spPr>
                </pic:pic>
              </a:graphicData>
            </a:graphic>
          </wp:inline>
        </w:drawing>
      </w:r>
    </w:p>
    <w:p>
      <w:pPr>
        <w:pStyle w:val="Normal"/>
        <w:tabs>
          <w:tab w:val="clear" w:pos="432"/>
          <w:tab w:val="left" w:pos="180" w:leader="none"/>
          <w:tab w:val="left" w:pos="720" w:leader="none"/>
        </w:tabs>
        <w:rPr>
          <w:rFonts w:ascii="Arial" w:hAnsi="Arial" w:cs="Arial"/>
          <w:b/>
          <w:sz w:val="28"/>
        </w:rPr>
      </w:pPr>
      <w:r>
        <w:rPr>
          <w:rFonts w:cs="Arial" w:ascii="Arial" w:hAnsi="Arial"/>
          <w:b/>
          <w:sz w:val="28"/>
        </w:rPr>
      </w:r>
    </w:p>
    <w:p>
      <w:pPr>
        <w:pStyle w:val="Normal"/>
        <w:tabs>
          <w:tab w:val="clear" w:pos="432"/>
          <w:tab w:val="left" w:pos="180" w:leader="none"/>
          <w:tab w:val="left" w:pos="720" w:leader="none"/>
        </w:tabs>
        <w:rPr>
          <w:rFonts w:ascii="Arial" w:hAnsi="Arial" w:cs="Arial"/>
          <w:b/>
          <w:sz w:val="28"/>
        </w:rPr>
      </w:pPr>
      <w:r>
        <w:rPr>
          <w:rFonts w:cs="Arial" w:ascii="Arial" w:hAnsi="Arial"/>
          <w:b/>
          <w:sz w:val="28"/>
        </w:rPr>
      </w:r>
    </w:p>
    <w:p>
      <w:pPr>
        <w:pStyle w:val="Normal"/>
        <w:tabs>
          <w:tab w:val="clear" w:pos="432"/>
          <w:tab w:val="left" w:pos="180" w:leader="none"/>
          <w:tab w:val="left" w:pos="720" w:leader="none"/>
        </w:tabs>
        <w:spacing w:before="0" w:after="80"/>
        <w:rPr>
          <w:rFonts w:ascii="Arial" w:hAnsi="Arial" w:cs="Arial"/>
          <w:b/>
          <w:sz w:val="28"/>
        </w:rPr>
      </w:pPr>
      <w:r>
        <w:rPr>
          <w:rFonts w:cs="Arial" w:ascii="Arial" w:hAnsi="Arial"/>
          <w:b/>
          <w:sz w:val="28"/>
        </w:rPr>
        <w:t xml:space="preserve">Agriculture Services </w:t>
      </w:r>
    </w:p>
    <w:p>
      <w:pPr>
        <w:pStyle w:val="Normal"/>
        <w:tabs>
          <w:tab w:val="clear" w:pos="432"/>
          <w:tab w:val="left" w:pos="180" w:leader="none"/>
          <w:tab w:val="left" w:pos="720" w:leader="none"/>
        </w:tabs>
        <w:jc w:val="both"/>
        <w:rPr/>
      </w:pPr>
      <w:r>
        <w:rPr>
          <w:rFonts w:cs="Arial" w:ascii="Arial" w:hAnsi="Arial"/>
        </w:rPr>
        <w:t xml:space="preserve">WEFA’s Agriculture Department provides in-depth analyses and forecasts of the US, Canadian, and International, including individual countries, agricultural economies and various agri-business sectors. WEFA takes a </w:t>
      </w:r>
      <w:r>
        <w:rPr>
          <w:rFonts w:cs="Arial" w:ascii="Arial" w:hAnsi="Arial"/>
          <w:b/>
        </w:rPr>
        <w:t xml:space="preserve">comprehensive </w:t>
      </w:r>
      <w:r>
        <w:rPr>
          <w:rFonts w:cs="Arial" w:ascii="Arial" w:hAnsi="Arial"/>
        </w:rPr>
        <w:t xml:space="preserve">approach to forecasting; incorporating relevant </w:t>
      </w:r>
      <w:r>
        <w:rPr>
          <w:rFonts w:cs="Arial" w:ascii="Arial" w:hAnsi="Arial"/>
          <w:b/>
        </w:rPr>
        <w:t>macroeconomic, sector specific,</w:t>
      </w:r>
      <w:r>
        <w:rPr>
          <w:rFonts w:cs="Arial" w:ascii="Arial" w:hAnsi="Arial"/>
        </w:rPr>
        <w:t xml:space="preserve"> and foreign </w:t>
      </w:r>
      <w:r>
        <w:rPr>
          <w:rFonts w:cs="Arial" w:ascii="Arial" w:hAnsi="Arial"/>
          <w:b/>
        </w:rPr>
        <w:t>agricultural</w:t>
      </w:r>
      <w:r>
        <w:rPr>
          <w:rFonts w:cs="Arial" w:ascii="Arial" w:hAnsi="Arial"/>
        </w:rPr>
        <w:t xml:space="preserve"> forecasts into our respective country forecasts.  Our modeling expertise enables us to develop customized sector models, upon client request. WEFA’s agricultural, macroeconomic country, and broad sector expertise combined with our analytical capabilities and extensive data bases make WEFA uniquely suited to address a broad spectrum of information and analytical needs of agri-businesses around the world.</w:t>
      </w:r>
    </w:p>
    <w:p>
      <w:pPr>
        <w:sectPr>
          <w:type w:val="continuous"/>
          <w:pgSz w:w="12240" w:h="15840"/>
          <w:pgMar w:left="1440" w:right="1080" w:gutter="0" w:header="0" w:top="1008" w:footer="0" w:bottom="1008"/>
          <w:cols w:num="2" w:equalWidth="false" w:sep="false">
            <w:col w:w="1872" w:space="288"/>
            <w:col w:w="7560"/>
          </w:cols>
          <w:formProt w:val="false"/>
          <w:textDirection w:val="lrTb"/>
          <w:docGrid w:type="default" w:linePitch="360" w:charSpace="0"/>
        </w:sectPr>
      </w:pPr>
    </w:p>
    <w:p>
      <w:pPr>
        <w:pStyle w:val="Normal"/>
        <w:numPr>
          <w:ilvl w:val="0"/>
          <w:numId w:val="0"/>
        </w:numPr>
        <w:rPr>
          <w:rFonts w:ascii="Arial" w:hAnsi="Arial" w:cs="Arial"/>
        </w:rPr>
      </w:pPr>
      <w:r>
        <w:rPr>
          <w:rFonts w:cs="Arial" w:ascii="Arial" w:hAnsi="Arial"/>
        </w:rPr>
      </w:r>
    </w:p>
    <w:p>
      <w:pPr>
        <w:sectPr>
          <w:type w:val="continuous"/>
          <w:pgSz w:w="12240" w:h="15840"/>
          <w:pgMar w:left="1440" w:right="1080" w:gutter="0" w:header="0" w:top="1008" w:footer="0" w:bottom="1008"/>
          <w:formProt w:val="false"/>
          <w:textDirection w:val="lrTb"/>
          <w:docGrid w:type="default" w:linePitch="360" w:charSpace="0"/>
        </w:sectPr>
      </w:pPr>
    </w:p>
    <w:p>
      <w:pPr>
        <w:pStyle w:val="Normal"/>
        <w:tabs>
          <w:tab w:val="clear" w:pos="432"/>
          <w:tab w:val="left" w:pos="180" w:leader="none"/>
          <w:tab w:val="left" w:pos="720" w:leader="none"/>
        </w:tabs>
        <w:spacing w:before="0" w:after="60"/>
        <w:rPr>
          <w:rFonts w:ascii="Arial" w:hAnsi="Arial" w:cs="Arial"/>
          <w:b/>
          <w:color w:val="0000FF"/>
          <w:sz w:val="24"/>
        </w:rPr>
      </w:pPr>
      <w:r>
        <w:rPr>
          <w:rFonts w:cs="Arial" w:ascii="Arial" w:hAnsi="Arial"/>
          <w:b/>
          <w:color w:val="0000FF"/>
          <w:sz w:val="24"/>
        </w:rPr>
        <w:t>Subscription Services Includes:</w:t>
      </w:r>
    </w:p>
    <w:p>
      <w:pPr>
        <w:pStyle w:val="Normal"/>
        <w:numPr>
          <w:ilvl w:val="0"/>
          <w:numId w:val="4"/>
        </w:numPr>
        <w:tabs>
          <w:tab w:val="clear" w:pos="432"/>
          <w:tab w:val="left" w:pos="180" w:leader="none"/>
          <w:tab w:val="left" w:pos="720" w:leader="none"/>
        </w:tabs>
        <w:spacing w:before="0" w:after="60"/>
        <w:jc w:val="both"/>
        <w:rPr>
          <w:rFonts w:ascii="Arial" w:hAnsi="Arial" w:cs="Arial"/>
        </w:rPr>
      </w:pPr>
      <w:r>
        <w:rPr>
          <w:rFonts w:cs="Arial" w:ascii="Arial" w:hAnsi="Arial"/>
          <w:b/>
          <w:i/>
        </w:rPr>
        <w:t>Unlimited telephone and email access</w:t>
      </w:r>
      <w:r>
        <w:rPr>
          <w:rFonts w:cs="Arial" w:ascii="Arial" w:hAnsi="Arial"/>
        </w:rPr>
        <w:t xml:space="preserve"> to the Agriculture Department.</w:t>
      </w:r>
    </w:p>
    <w:p>
      <w:pPr>
        <w:pStyle w:val="Normal"/>
        <w:numPr>
          <w:ilvl w:val="0"/>
          <w:numId w:val="4"/>
        </w:numPr>
        <w:tabs>
          <w:tab w:val="clear" w:pos="432"/>
          <w:tab w:val="left" w:pos="180" w:leader="none"/>
          <w:tab w:val="left" w:pos="720" w:leader="none"/>
        </w:tabs>
        <w:spacing w:before="0" w:after="60"/>
        <w:jc w:val="both"/>
        <w:rPr>
          <w:rFonts w:ascii="Arial" w:hAnsi="Arial" w:cs="Arial"/>
        </w:rPr>
      </w:pPr>
      <w:r>
        <w:rPr>
          <w:rFonts w:cs="Arial" w:ascii="Arial" w:hAnsi="Arial"/>
          <w:b/>
          <w:i/>
        </w:rPr>
        <w:t>Electronic access to all forecast information via WEFA’s Web site (MyWEFA)</w:t>
      </w:r>
    </w:p>
    <w:p>
      <w:pPr>
        <w:pStyle w:val="Normal"/>
        <w:numPr>
          <w:ilvl w:val="0"/>
          <w:numId w:val="4"/>
        </w:numPr>
        <w:tabs>
          <w:tab w:val="clear" w:pos="432"/>
          <w:tab w:val="left" w:pos="180" w:leader="none"/>
          <w:tab w:val="left" w:pos="720" w:leader="none"/>
        </w:tabs>
        <w:spacing w:before="0" w:after="60"/>
        <w:jc w:val="both"/>
        <w:rPr>
          <w:rFonts w:ascii="Arial" w:hAnsi="Arial" w:cs="Arial"/>
        </w:rPr>
      </w:pPr>
      <w:r>
        <w:rPr>
          <w:rFonts w:cs="Arial" w:ascii="Arial" w:hAnsi="Arial"/>
          <w:b/>
          <w:i/>
        </w:rPr>
        <w:t>Email responses</w:t>
      </w:r>
      <w:r>
        <w:rPr>
          <w:rFonts w:cs="Arial" w:ascii="Arial" w:hAnsi="Arial"/>
        </w:rPr>
        <w:t xml:space="preserve"> to new economic information - WEFA’s Agricultural Commentary.</w:t>
      </w:r>
    </w:p>
    <w:p>
      <w:pPr>
        <w:pStyle w:val="Normal"/>
        <w:numPr>
          <w:ilvl w:val="0"/>
          <w:numId w:val="4"/>
        </w:numPr>
        <w:tabs>
          <w:tab w:val="clear" w:pos="432"/>
          <w:tab w:val="left" w:pos="180" w:leader="none"/>
          <w:tab w:val="left" w:pos="720" w:leader="none"/>
        </w:tabs>
        <w:spacing w:before="0" w:after="60"/>
        <w:jc w:val="both"/>
        <w:rPr>
          <w:rFonts w:ascii="Arial" w:hAnsi="Arial" w:cs="Arial"/>
          <w:b/>
          <w:i/>
          <w:i/>
        </w:rPr>
      </w:pPr>
      <w:r>
        <w:rPr>
          <w:rFonts w:cs="Arial" w:ascii="Arial" w:hAnsi="Arial"/>
          <w:b/>
          <w:i/>
        </w:rPr>
        <w:t xml:space="preserve">On-site presentation </w:t>
      </w:r>
      <w:r>
        <w:rPr>
          <w:rFonts w:cs="Arial" w:ascii="Arial" w:hAnsi="Arial"/>
        </w:rPr>
        <w:t>upon client request (direct travel costs are billed separately).</w:t>
      </w:r>
    </w:p>
    <w:p>
      <w:pPr>
        <w:pStyle w:val="Normal"/>
        <w:numPr>
          <w:ilvl w:val="0"/>
          <w:numId w:val="4"/>
        </w:numPr>
        <w:tabs>
          <w:tab w:val="clear" w:pos="432"/>
          <w:tab w:val="left" w:pos="180" w:leader="none"/>
          <w:tab w:val="left" w:pos="720" w:leader="none"/>
        </w:tabs>
        <w:spacing w:before="0" w:after="60"/>
        <w:jc w:val="both"/>
        <w:rPr>
          <w:rFonts w:ascii="Arial" w:hAnsi="Arial" w:cs="Arial"/>
        </w:rPr>
      </w:pPr>
      <w:r>
        <w:rPr>
          <w:rFonts w:cs="Arial" w:ascii="Arial" w:hAnsi="Arial"/>
          <w:b/>
          <w:i/>
        </w:rPr>
        <w:t>Agricultural Outlook Conferences and Roundtables</w:t>
      </w:r>
      <w:r>
        <w:rPr>
          <w:rFonts w:cs="Arial" w:ascii="Arial" w:hAnsi="Arial"/>
        </w:rPr>
        <w:t xml:space="preserve"> held semi-annually - spring and fall - to which all subscribers are invited, featuring discussions and presentations by staff and guest speakers.</w:t>
      </w:r>
    </w:p>
    <w:p>
      <w:pPr>
        <w:pStyle w:val="Normal"/>
        <w:tabs>
          <w:tab w:val="clear" w:pos="432"/>
          <w:tab w:val="left" w:pos="180" w:leader="none"/>
          <w:tab w:val="left" w:pos="720" w:leader="none"/>
        </w:tabs>
        <w:spacing w:before="120" w:after="0"/>
        <w:jc w:val="both"/>
        <w:rPr/>
      </w:pPr>
      <w:r>
        <w:rPr>
          <w:rFonts w:cs="Arial" w:ascii="Arial" w:hAnsi="Arial"/>
        </w:rPr>
        <w:t>The following is a brief description of the products offered by WEFA’s Agriculture Department. Components of each of the services can also be purchased individually. Please check the box(es) beside your area(s) of interest (</w:t>
      </w:r>
      <w:r>
        <w:rPr>
          <w:rFonts w:eastAsia="Symbol" w:cs="Symbol" w:ascii="Symbol" w:hAnsi="Symbol"/>
          <w:color w:val="FF0000"/>
          <w:sz w:val="24"/>
        </w:rPr>
        <w:sym w:font="Symbol" w:char="f02a"/>
      </w:r>
      <w:r>
        <w:rPr>
          <w:rFonts w:cs="Arial" w:ascii="Arial" w:hAnsi="Arial"/>
        </w:rPr>
        <w:t xml:space="preserve"> indicates a new product).  Please complete the information on the back and return to WEFA’s Agriculture Department.</w:t>
      </w:r>
    </w:p>
    <w:p>
      <w:pPr>
        <w:pStyle w:val="Normal"/>
        <w:tabs>
          <w:tab w:val="clear" w:pos="432"/>
          <w:tab w:val="left" w:pos="180" w:leader="none"/>
          <w:tab w:val="left" w:pos="720" w:leader="none"/>
        </w:tabs>
        <w:spacing w:before="120" w:after="0"/>
        <w:jc w:val="both"/>
        <w:rPr>
          <w:rFonts w:ascii="Arial" w:hAnsi="Arial" w:cs="Arial"/>
        </w:rPr>
      </w:pPr>
      <w:r>
        <w:rPr>
          <w:rFonts w:cs="Arial" w:ascii="Arial" w:hAnsi="Arial"/>
        </w:rPr>
      </w:r>
    </w:p>
    <w:p>
      <w:pPr>
        <w:sectPr>
          <w:type w:val="continuous"/>
          <w:pgSz w:w="12240" w:h="15840"/>
          <w:pgMar w:left="1440" w:right="1080" w:gutter="0" w:header="0" w:top="1008" w:footer="0" w:bottom="1008"/>
          <w:formProt w:val="false"/>
          <w:textDirection w:val="lrTb"/>
          <w:docGrid w:type="default" w:linePitch="360" w:charSpace="0"/>
        </w:sectPr>
      </w:pPr>
    </w:p>
    <w:p>
      <w:pPr>
        <w:pStyle w:val="Normal"/>
        <w:tabs>
          <w:tab w:val="clear" w:pos="432"/>
          <w:tab w:val="left" w:pos="180" w:leader="none"/>
          <w:tab w:val="left" w:pos="720" w:leader="none"/>
          <w:tab w:val="left" w:pos="1260" w:leader="none"/>
          <w:tab w:val="left" w:pos="1800" w:leader="none"/>
        </w:tabs>
        <w:spacing w:before="0" w:after="120"/>
        <w:jc w:val="both"/>
        <w:rPr>
          <w:rFonts w:ascii="Arial" w:hAnsi="Arial" w:cs="Arial"/>
          <w:sz w:val="24"/>
        </w:rPr>
      </w:pPr>
      <w:r>
        <w:rPr>
          <w:rFonts w:cs="Arial" w:ascii="Arial" w:hAnsi="Arial"/>
          <w:b/>
          <w:color w:val="0000FF"/>
          <w:sz w:val="24"/>
        </w:rPr>
        <w:t>US Agriculture and World Trade Products</w:t>
      </w:r>
      <w:r>
        <mc:AlternateContent>
          <mc:Choice Requires="wps">
            <w:drawing>
              <wp:anchor behindDoc="0" distT="0" distB="0" distL="118745" distR="118745" simplePos="0" locked="0" layoutInCell="0" allowOverlap="1" relativeHeight="3">
                <wp:simplePos x="0" y="0"/>
                <wp:positionH relativeFrom="page">
                  <wp:posOffset>883285</wp:posOffset>
                </wp:positionH>
                <wp:positionV relativeFrom="paragraph">
                  <wp:posOffset>635</wp:posOffset>
                </wp:positionV>
                <wp:extent cx="273050" cy="210185"/>
                <wp:effectExtent l="0" t="0" r="19050" b="19050"/>
                <wp:wrapSquare wrapText="bothSides"/>
                <wp:docPr id="2" name="Frame1"/>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jc w:val="both"/>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0.05pt;mso-position-vertical-relative:text;margin-left:69.55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jc w:val="both"/>
                        <w:rPr/>
                      </w:pPr>
                      <w:r>
                        <w:rPr/>
                      </w:r>
                    </w:p>
                  </w:txbxContent>
                </v:textbox>
                <w10:wrap type="square"/>
              </v:rect>
            </w:pict>
          </mc:Fallback>
        </mc:AlternateContent>
      </w:r>
    </w:p>
    <w:p>
      <w:pPr>
        <w:pStyle w:val="Normal"/>
        <w:numPr>
          <w:ilvl w:val="0"/>
          <w:numId w:val="5"/>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w:rPr>
          <w:rFonts w:eastAsia="Symbol" w:cs="Symbol" w:ascii="Symbol" w:hAnsi="Symbol"/>
          <w:color w:val="FF0000"/>
          <w:sz w:val="24"/>
        </w:rPr>
        <w:sym w:font="Symbol" w:char="f02a"/>
      </w:r>
      <w:r>
        <w:rPr>
          <w:rFonts w:eastAsia="Arial" w:cs="Arial" w:ascii="Arial" w:hAnsi="Arial"/>
          <w:b/>
        </w:rPr>
        <w:t xml:space="preserve"> </w:t>
      </w:r>
      <w:r>
        <mc:AlternateContent>
          <mc:Choice Requires="wps">
            <w:drawing>
              <wp:anchor behindDoc="0" distT="0" distB="0" distL="114935" distR="114935" simplePos="0" locked="0" layoutInCell="1" allowOverlap="1" relativeHeight="20">
                <wp:simplePos x="0" y="0"/>
                <wp:positionH relativeFrom="column">
                  <wp:posOffset>232410</wp:posOffset>
                </wp:positionH>
                <wp:positionV relativeFrom="paragraph">
                  <wp:posOffset>59690</wp:posOffset>
                </wp:positionV>
                <wp:extent cx="133985" cy="169545"/>
                <wp:effectExtent l="6985" t="6985" r="5715" b="5715"/>
                <wp:wrapNone/>
                <wp:docPr id="3"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Agri-View:</w:t>
      </w:r>
      <w:r>
        <w:rPr>
          <w:rFonts w:cs="Arial" w:ascii="Arial" w:hAnsi="Arial"/>
        </w:rPr>
        <w:t xml:space="preserve"> is a biweekly newsletter that discusses relevant and timely topics in international and domestic agriculture, short qualitative economic analyses, and current events. Regular features appearing in the </w:t>
      </w:r>
      <w:r>
        <w:rPr>
          <w:rFonts w:cs="Arial" w:ascii="Arial" w:hAnsi="Arial"/>
          <w:i/>
        </w:rPr>
        <w:t>Agri-View</w:t>
      </w:r>
      <w:r>
        <w:rPr>
          <w:rFonts w:cs="Arial" w:ascii="Arial" w:hAnsi="Arial"/>
        </w:rPr>
        <w:t xml:space="preserve"> are tables and graphs of current and historical US cash commodity prices, tables and graphs of current and historical global cash commodity prices (for select markets) and exchange rates (for select countries) WEFA’s review of agriculture, and a schedule of reports to be released by the USDA. Available electronic format only.</w:t>
      </w:r>
    </w:p>
    <w:p>
      <w:pPr>
        <w:pStyle w:val="Normal"/>
        <w:numPr>
          <w:ilvl w:val="0"/>
          <w:numId w:val="5"/>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24">
                <wp:simplePos x="0" y="0"/>
                <wp:positionH relativeFrom="column">
                  <wp:posOffset>232410</wp:posOffset>
                </wp:positionH>
                <wp:positionV relativeFrom="paragraph">
                  <wp:posOffset>59690</wp:posOffset>
                </wp:positionV>
                <wp:extent cx="133985" cy="169545"/>
                <wp:effectExtent l="6985" t="6985" r="5715" b="5715"/>
                <wp:wrapNone/>
                <wp:docPr id="4"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Executive Summary:</w:t>
      </w:r>
      <w:r>
        <w:rPr>
          <w:rFonts w:cs="Arial" w:ascii="Arial" w:hAnsi="Arial"/>
        </w:rPr>
        <w:t xml:space="preserve"> a bi-monthly overview of WEFA’s Short-Term forecast (see next bullet) of the US agriculture sector including assumptions, analyses, and the current supply/demand/price situation at the US level for grains, soybeans, cotton, and livestock commodities, and farm income.</w:t>
      </w:r>
      <w:r>
        <w:rPr/>
        <w:t xml:space="preserve"> </w:t>
      </w:r>
      <w:r>
        <w:rPr>
          <w:rFonts w:cs="Arial" w:ascii="Arial" w:hAnsi="Arial"/>
        </w:rPr>
        <w:t xml:space="preserve">Analysis is presented in both textual and tabular formats. The WEFA </w:t>
      </w:r>
      <w:r>
        <w:rPr>
          <w:rFonts w:cs="Arial" w:ascii="Arial" w:hAnsi="Arial"/>
          <w:i/>
        </w:rPr>
        <w:t>Ag Commentary</w:t>
      </w:r>
      <w:r>
        <w:rPr>
          <w:rFonts w:cs="Arial" w:ascii="Arial" w:hAnsi="Arial"/>
        </w:rPr>
        <w:t xml:space="preserve"> is a part of the executive summary service.  The </w:t>
      </w:r>
      <w:r>
        <w:rPr>
          <w:rFonts w:cs="Arial" w:ascii="Arial" w:hAnsi="Arial"/>
          <w:i/>
        </w:rPr>
        <w:t>Ag Commentary</w:t>
      </w:r>
      <w:r>
        <w:rPr>
          <w:rFonts w:cs="Arial" w:ascii="Arial" w:hAnsi="Arial"/>
        </w:rPr>
        <w:t xml:space="preserve"> is an assessment by WEFA’s Agriculture Department of events and reports released by the USDA that impact the agricultural outlook.</w:t>
      </w:r>
    </w:p>
    <w:p>
      <w:pPr>
        <w:pStyle w:val="Normal"/>
        <w:numPr>
          <w:ilvl w:val="0"/>
          <w:numId w:val="5"/>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25">
                <wp:simplePos x="0" y="0"/>
                <wp:positionH relativeFrom="column">
                  <wp:posOffset>232410</wp:posOffset>
                </wp:positionH>
                <wp:positionV relativeFrom="paragraph">
                  <wp:posOffset>59690</wp:posOffset>
                </wp:positionV>
                <wp:extent cx="133985" cy="169545"/>
                <wp:effectExtent l="6985" t="6985" r="5715" b="5715"/>
                <wp:wrapNone/>
                <wp:docPr id="5"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US Agriculture and World Trade Service Short-Term (10-quarter): </w:t>
      </w:r>
      <w:r>
        <w:rPr>
          <w:rFonts w:cs="Arial" w:ascii="Arial" w:hAnsi="Arial"/>
        </w:rPr>
        <w:t>Forecasts covering crops, livestock, farm income, and food prices.  The Short-Term tables are issued bi-monthly on the same months that the executive summary is produced.  This database includes tabular</w:t>
      </w:r>
      <w:r>
        <w:rPr>
          <w:rFonts w:cs="Arial" w:ascii="Arial" w:hAnsi="Arial"/>
          <w:b/>
        </w:rPr>
        <w:t xml:space="preserve"> </w:t>
      </w:r>
      <w:r>
        <w:rPr>
          <w:rFonts w:cs="Arial" w:ascii="Arial" w:hAnsi="Arial"/>
        </w:rPr>
        <w:t>(forecast and historical data) presentations of the sector-by-sector outlook.  This database is available in electronic form only.</w:t>
      </w:r>
    </w:p>
    <w:p>
      <w:pPr>
        <w:pStyle w:val="Normal"/>
        <w:numPr>
          <w:ilvl w:val="0"/>
          <w:numId w:val="5"/>
        </w:numPr>
        <w:tabs>
          <w:tab w:val="clear" w:pos="432"/>
          <w:tab w:val="left" w:pos="180" w:leader="none"/>
          <w:tab w:val="left" w:pos="720" w:leader="none"/>
          <w:tab w:val="left" w:pos="1260" w:leader="none"/>
          <w:tab w:val="left" w:pos="1800" w:leader="none"/>
        </w:tabs>
        <w:spacing w:before="0" w:after="120"/>
        <w:jc w:val="both"/>
        <w:rPr>
          <w:rFonts w:ascii="Arial" w:hAnsi="Arial" w:cs="Arial"/>
        </w:rPr>
      </w:pPr>
      <w:r>
        <mc:AlternateContent>
          <mc:Choice Requires="wps">
            <w:drawing>
              <wp:anchor behindDoc="0" distT="0" distB="0" distL="114935" distR="114935" simplePos="0" locked="0" layoutInCell="1" allowOverlap="1" relativeHeight="12">
                <wp:simplePos x="0" y="0"/>
                <wp:positionH relativeFrom="column">
                  <wp:posOffset>232410</wp:posOffset>
                </wp:positionH>
                <wp:positionV relativeFrom="paragraph">
                  <wp:posOffset>59690</wp:posOffset>
                </wp:positionV>
                <wp:extent cx="133985" cy="169545"/>
                <wp:effectExtent l="6985" t="6985" r="5715" b="5715"/>
                <wp:wrapNone/>
                <wp:docPr id="6"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US Agriculture and World Trade Service Long-Term (10-year): </w:t>
      </w:r>
      <w:r>
        <w:rPr>
          <w:rFonts w:cs="Arial" w:ascii="Arial" w:hAnsi="Arial"/>
        </w:rPr>
        <w:t>Forecasts covering commodities, farm income, and food prices.  The Long-Term is issued in April and October. This publication includes written, graphic, and tabular</w:t>
      </w:r>
      <w:r>
        <w:rPr>
          <w:rFonts w:cs="Arial" w:ascii="Arial" w:hAnsi="Arial"/>
          <w:b/>
        </w:rPr>
        <w:t xml:space="preserve"> </w:t>
      </w:r>
      <w:r>
        <w:rPr>
          <w:rFonts w:cs="Arial" w:ascii="Arial" w:hAnsi="Arial"/>
        </w:rPr>
        <w:t>(forecast and historical data) presentations of the sector-by-sector outlook.  The report is available in both electronic and hard copy formats.</w:t>
      </w:r>
    </w:p>
    <w:p>
      <w:pPr>
        <w:pStyle w:val="Normal"/>
        <w:numPr>
          <w:ilvl w:val="0"/>
          <w:numId w:val="5"/>
        </w:numPr>
        <w:tabs>
          <w:tab w:val="clear" w:pos="432"/>
          <w:tab w:val="left" w:pos="180" w:leader="none"/>
          <w:tab w:val="left" w:pos="720" w:leader="none"/>
          <w:tab w:val="left" w:pos="1260" w:leader="none"/>
          <w:tab w:val="left" w:pos="1800" w:leader="none"/>
        </w:tabs>
        <w:spacing w:before="0" w:after="120"/>
        <w:jc w:val="both"/>
        <w:rPr>
          <w:rFonts w:ascii="Arial" w:hAnsi="Arial" w:cs="Arial"/>
        </w:rPr>
      </w:pPr>
      <w:r>
        <mc:AlternateContent>
          <mc:Choice Requires="wps">
            <w:drawing>
              <wp:anchor behindDoc="0" distT="0" distB="0" distL="114935" distR="114935" simplePos="0" locked="0" layoutInCell="1" allowOverlap="1" relativeHeight="26">
                <wp:simplePos x="0" y="0"/>
                <wp:positionH relativeFrom="column">
                  <wp:posOffset>232410</wp:posOffset>
                </wp:positionH>
                <wp:positionV relativeFrom="paragraph">
                  <wp:posOffset>59690</wp:posOffset>
                </wp:positionV>
                <wp:extent cx="133985" cy="169545"/>
                <wp:effectExtent l="6985" t="6985" r="5715" b="5715"/>
                <wp:wrapNone/>
                <wp:docPr id="7"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US Crops Cost of Production by Region (10-year): </w:t>
      </w:r>
      <w:r>
        <w:rPr>
          <w:rFonts w:cs="Arial" w:ascii="Arial" w:hAnsi="Arial"/>
        </w:rPr>
        <w:t>Forecasts covering wheat, rice, corn, sorghum, barley, oats, cotton, and soybean costs, revenues, and profitability by region.  Includes written, graphic, and tabular (forecast and historical data) presentations of the crop-by-crop outlook.  Hard copy report is issued in October. Electronic updates are available in April and October.</w:t>
      </w:r>
    </w:p>
    <w:p>
      <w:pPr>
        <w:pStyle w:val="Normal"/>
        <w:numPr>
          <w:ilvl w:val="0"/>
          <w:numId w:val="5"/>
        </w:numPr>
        <w:tabs>
          <w:tab w:val="clear" w:pos="432"/>
          <w:tab w:val="left" w:pos="180" w:leader="none"/>
          <w:tab w:val="left" w:pos="720" w:leader="none"/>
          <w:tab w:val="left" w:pos="1260" w:leader="none"/>
          <w:tab w:val="left" w:pos="1800" w:leader="none"/>
        </w:tabs>
        <w:spacing w:before="0" w:after="120"/>
        <w:jc w:val="both"/>
        <w:rPr>
          <w:rFonts w:ascii="Arial" w:hAnsi="Arial" w:cs="Arial"/>
        </w:rPr>
      </w:pPr>
      <w:r>
        <mc:AlternateContent>
          <mc:Choice Requires="wps">
            <w:drawing>
              <wp:anchor behindDoc="0" distT="0" distB="0" distL="114935" distR="114935" simplePos="0" locked="0" layoutInCell="1" allowOverlap="1" relativeHeight="27">
                <wp:simplePos x="0" y="0"/>
                <wp:positionH relativeFrom="column">
                  <wp:posOffset>232410</wp:posOffset>
                </wp:positionH>
                <wp:positionV relativeFrom="paragraph">
                  <wp:posOffset>59690</wp:posOffset>
                </wp:positionV>
                <wp:extent cx="133985" cy="169545"/>
                <wp:effectExtent l="6985" t="6985" r="5715" b="5715"/>
                <wp:wrapNone/>
                <wp:docPr id="8"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US Planting and Harvesting Progress Reports: </w:t>
      </w:r>
      <w:r>
        <w:rPr>
          <w:rFonts w:cs="Arial" w:ascii="Arial" w:hAnsi="Arial"/>
        </w:rPr>
        <w:t>Contains state daily planting/harvesting progress graphs for corn, cotton, rice sorghum, soybeans, spring wheat, and winter wheat.  Issued annually, electronic updates are available weekly during the planting and harvesting seasons.</w:t>
      </w:r>
    </w:p>
    <w:p>
      <w:pPr>
        <w:pStyle w:val="Normal"/>
        <w:tabs>
          <w:tab w:val="clear" w:pos="432"/>
          <w:tab w:val="left" w:pos="180" w:leader="none"/>
          <w:tab w:val="left" w:pos="1260" w:leader="none"/>
          <w:tab w:val="left" w:pos="1800" w:leader="none"/>
        </w:tabs>
        <w:ind w:hanging="720" w:start="720" w:end="0"/>
        <w:rPr/>
      </w:pPr>
      <w:r>
        <w:rPr>
          <w:rFonts w:cs="Arial" w:ascii="Arial" w:hAnsi="Arial"/>
          <w:b/>
          <w:color w:val="0000FF"/>
          <w:sz w:val="24"/>
        </w:rPr>
        <w:t>US State Acreage: Long-Term (10 year):</w:t>
      </w:r>
      <w:r>
        <w:rPr>
          <w:rFonts w:cs="Arial" w:ascii="Arial" w:hAnsi="Arial"/>
          <w:b/>
        </w:rPr>
        <w:t xml:space="preserve"> </w:t>
      </w:r>
      <w:r>
        <w:rPr>
          <w:rFonts w:cs="Arial" w:ascii="Arial" w:hAnsi="Arial"/>
        </w:rPr>
        <w:t>Forecasts covering acreage, yield, and production</w:t>
      </w:r>
      <w:r>
        <mc:AlternateContent>
          <mc:Choice Requires="wps">
            <w:drawing>
              <wp:anchor behindDoc="0" distT="0" distB="0" distL="118745" distR="118745" simplePos="0" locked="0" layoutInCell="0" allowOverlap="1" relativeHeight="4">
                <wp:simplePos x="0" y="0"/>
                <wp:positionH relativeFrom="page">
                  <wp:posOffset>883285</wp:posOffset>
                </wp:positionH>
                <wp:positionV relativeFrom="paragraph">
                  <wp:posOffset>635</wp:posOffset>
                </wp:positionV>
                <wp:extent cx="273050" cy="210185"/>
                <wp:effectExtent l="0" t="0" r="19050" b="19050"/>
                <wp:wrapSquare wrapText="bothSides"/>
                <wp:docPr id="9" name="Frame2"/>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0.05pt;mso-position-vertical-relative:text;margin-left:69.55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tabs>
          <w:tab w:val="clear" w:pos="432"/>
          <w:tab w:val="left" w:pos="720" w:leader="none"/>
          <w:tab w:val="left" w:pos="1260" w:leader="none"/>
          <w:tab w:val="left" w:pos="1800" w:leader="none"/>
        </w:tabs>
        <w:spacing w:before="0" w:after="120"/>
        <w:ind w:hanging="720" w:start="720" w:end="0"/>
        <w:jc w:val="both"/>
        <w:rPr>
          <w:rFonts w:ascii="Arial" w:hAnsi="Arial" w:cs="Arial"/>
        </w:rPr>
      </w:pPr>
      <w:r>
        <w:rPr>
          <w:rFonts w:cs="Arial" w:ascii="Arial" w:hAnsi="Arial"/>
        </w:rPr>
        <w:t>for wheat, corn, grain sorghum, soybeans, rice, and cotton in all states reporting production.  Acreage projections for alfalfa hay, barley, dry beans, flax, oats, peanuts, potatoes, rye, sugar beets, sugar cane sunflowers, tobacco, winter wheat, spring wheat, and durum are also included. The Long-Term is issued in May and November. State level acreage forecast are available in spread sheet form via the WEB and hard copy format once annually (May).</w:t>
      </w:r>
    </w:p>
    <w:p>
      <w:pPr>
        <w:pStyle w:val="Normal"/>
        <w:tabs>
          <w:tab w:val="clear" w:pos="432"/>
          <w:tab w:val="left" w:pos="630" w:leader="none"/>
          <w:tab w:val="left" w:pos="1260" w:leader="none"/>
          <w:tab w:val="left" w:pos="1800" w:leader="none"/>
        </w:tabs>
        <w:spacing w:before="240" w:after="0"/>
        <w:ind w:hanging="634" w:start="634" w:end="0"/>
        <w:jc w:val="both"/>
        <w:rPr/>
      </w:pPr>
      <w:r>
        <w:rPr>
          <w:rFonts w:cs="Arial" w:ascii="Arial" w:hAnsi="Arial"/>
          <w:b/>
          <w:color w:val="0000FF"/>
          <w:sz w:val="24"/>
        </w:rPr>
        <w:t xml:space="preserve">US County Crop Acreage: </w:t>
      </w:r>
      <w:r>
        <w:rPr>
          <w:rFonts w:cs="Arial" w:ascii="Arial" w:hAnsi="Arial"/>
          <w:b/>
          <w:color w:val="0000FF"/>
        </w:rPr>
        <w:t>County Acreage Estimates</w:t>
      </w:r>
      <w:r>
        <w:rPr>
          <w:rFonts w:cs="Arial" w:ascii="Arial" w:hAnsi="Arial"/>
        </w:rPr>
        <w:t xml:space="preserve"> for the field and row crops for all counties reporting production. In some cases, WEFA analysts derive county level estimates for counties that do not report to insure consistency between state totals and the sum of the counties in the state.  County acreage forecasts are provided in spread sheet format via the WEB (MyWEFA).</w:t>
      </w:r>
      <w:r>
        <mc:AlternateContent>
          <mc:Choice Requires="wps">
            <w:drawing>
              <wp:anchor behindDoc="0" distT="0" distB="0" distL="118745" distR="118745" simplePos="0" locked="0" layoutInCell="0" allowOverlap="1" relativeHeight="5">
                <wp:simplePos x="0" y="0"/>
                <wp:positionH relativeFrom="page">
                  <wp:posOffset>772160</wp:posOffset>
                </wp:positionH>
                <wp:positionV relativeFrom="paragraph">
                  <wp:posOffset>131445</wp:posOffset>
                </wp:positionV>
                <wp:extent cx="273050" cy="210185"/>
                <wp:effectExtent l="0" t="0" r="19050" b="19050"/>
                <wp:wrapSquare wrapText="bothSides"/>
                <wp:docPr id="10" name="Frame3"/>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10.35pt;mso-position-vertical-relative:text;margin-left:60.8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tabs>
          <w:tab w:val="clear" w:pos="432"/>
          <w:tab w:val="left" w:pos="540" w:leader="none"/>
        </w:tabs>
        <w:spacing w:before="240" w:after="120"/>
        <w:ind w:hanging="634" w:start="634" w:end="0"/>
        <w:rPr/>
      </w:pPr>
      <w:r>
        <w:rPr>
          <w:rFonts w:cs="Arial" w:ascii="Arial" w:hAnsi="Arial"/>
          <w:b/>
          <w:color w:val="0000FF"/>
          <w:sz w:val="24"/>
        </w:rPr>
        <w:t xml:space="preserve">US Specialty Crop Acreage: </w:t>
      </w:r>
      <w:r>
        <w:rPr>
          <w:rFonts w:cs="Arial" w:ascii="Arial" w:hAnsi="Arial"/>
          <w:b/>
          <w:color w:val="0000FF"/>
        </w:rPr>
        <w:t>State Acreage Estimates:</w:t>
      </w:r>
      <w:r>
        <w:rPr>
          <w:rFonts w:cs="Arial" w:ascii="Arial" w:hAnsi="Arial"/>
        </w:rPr>
        <w:t xml:space="preserve"> for fifty-eight specialty crops in all states reporting production.  The Specialty Crop Acreage Report is issued annually in March.</w:t>
      </w:r>
      <w:r>
        <mc:AlternateContent>
          <mc:Choice Requires="wps">
            <w:drawing>
              <wp:anchor behindDoc="0" distT="0" distB="0" distL="118745" distR="118745" simplePos="0" locked="0" layoutInCell="0" allowOverlap="1" relativeHeight="6">
                <wp:simplePos x="0" y="0"/>
                <wp:positionH relativeFrom="page">
                  <wp:posOffset>805180</wp:posOffset>
                </wp:positionH>
                <wp:positionV relativeFrom="paragraph">
                  <wp:posOffset>2540</wp:posOffset>
                </wp:positionV>
                <wp:extent cx="273050" cy="210185"/>
                <wp:effectExtent l="0" t="0" r="19050" b="19050"/>
                <wp:wrapSquare wrapText="bothSides"/>
                <wp:docPr id="11" name="Frame4"/>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0.2pt;mso-position-vertical-relative:text;margin-left:63.4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tabs>
          <w:tab w:val="clear" w:pos="432"/>
          <w:tab w:val="left" w:pos="630" w:leader="none"/>
        </w:tabs>
        <w:spacing w:before="240" w:after="120"/>
        <w:ind w:hanging="634" w:start="634" w:end="0"/>
        <w:jc w:val="both"/>
        <w:rPr/>
      </w:pPr>
      <w:r>
        <w:rPr>
          <w:rFonts w:cs="Arial" w:ascii="Arial" w:hAnsi="Arial"/>
          <w:b/>
          <w:color w:val="0000FF"/>
          <w:sz w:val="24"/>
        </w:rPr>
        <w:t xml:space="preserve">US Specialty Crop Acreage: </w:t>
      </w:r>
      <w:r>
        <w:rPr>
          <w:rFonts w:cs="Arial" w:ascii="Arial" w:hAnsi="Arial"/>
          <w:b/>
          <w:color w:val="0000FF"/>
        </w:rPr>
        <w:t>County Acreage Estimates:</w:t>
      </w:r>
      <w:r>
        <w:rPr>
          <w:rFonts w:cs="Arial" w:ascii="Arial" w:hAnsi="Arial"/>
        </w:rPr>
        <w:t xml:space="preserve"> for fifty-eight specialty crops in all states reporting production. Historical data derived from the Census of Agriculture. Typically county acreage forecasts are provided on a project basis where the crop by county projections and historical data are aligned to districts/regions/territories as defined by the client. </w:t>
      </w:r>
      <w:r>
        <mc:AlternateContent>
          <mc:Choice Requires="wps">
            <w:drawing>
              <wp:anchor behindDoc="0" distT="0" distB="0" distL="118745" distR="118745" simplePos="0" locked="0" layoutInCell="0" allowOverlap="1" relativeHeight="7">
                <wp:simplePos x="0" y="0"/>
                <wp:positionH relativeFrom="page">
                  <wp:posOffset>805180</wp:posOffset>
                </wp:positionH>
                <wp:positionV relativeFrom="paragraph">
                  <wp:posOffset>2540</wp:posOffset>
                </wp:positionV>
                <wp:extent cx="273050" cy="210185"/>
                <wp:effectExtent l="0" t="0" r="19050" b="19050"/>
                <wp:wrapSquare wrapText="bothSides"/>
                <wp:docPr id="12" name="Frame5"/>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0.2pt;mso-position-vertical-relative:text;margin-left:63.4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tabs>
          <w:tab w:val="clear" w:pos="432"/>
          <w:tab w:val="left" w:pos="540" w:leader="none"/>
          <w:tab w:val="left" w:pos="1260" w:leader="none"/>
          <w:tab w:val="left" w:pos="1800" w:leader="none"/>
        </w:tabs>
        <w:ind w:hanging="547" w:start="547" w:end="0"/>
        <w:rPr/>
      </w:pPr>
      <w:r>
        <w:rPr>
          <w:rFonts w:cs="Arial" w:ascii="Arial" w:hAnsi="Arial"/>
          <w:b/>
          <w:color w:val="0000FF"/>
          <w:sz w:val="24"/>
        </w:rPr>
        <w:t xml:space="preserve">US Commodity Updates: </w:t>
      </w:r>
      <w:r>
        <w:rPr>
          <w:rFonts w:cs="Arial" w:ascii="Arial" w:hAnsi="Arial"/>
        </w:rPr>
        <w:t>Bi-monthly updates of commodity markets.  Those currently available</w:t>
      </w:r>
      <w:r>
        <mc:AlternateContent>
          <mc:Choice Requires="wps">
            <w:drawing>
              <wp:anchor behindDoc="0" distT="0" distB="0" distL="118745" distR="118745" simplePos="0" locked="0" layoutInCell="0" allowOverlap="1" relativeHeight="8">
                <wp:simplePos x="0" y="0"/>
                <wp:positionH relativeFrom="page">
                  <wp:posOffset>805180</wp:posOffset>
                </wp:positionH>
                <wp:positionV relativeFrom="paragraph">
                  <wp:posOffset>635</wp:posOffset>
                </wp:positionV>
                <wp:extent cx="273050" cy="210185"/>
                <wp:effectExtent l="0" t="0" r="19050" b="19050"/>
                <wp:wrapSquare wrapText="bothSides"/>
                <wp:docPr id="13" name="Frame6"/>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0.05pt;mso-position-vertical-relative:text;margin-left:63.4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tabs>
          <w:tab w:val="clear" w:pos="432"/>
          <w:tab w:val="left" w:pos="540" w:leader="none"/>
          <w:tab w:val="left" w:pos="1260" w:leader="none"/>
          <w:tab w:val="left" w:pos="1800" w:leader="none"/>
        </w:tabs>
        <w:spacing w:before="0" w:after="240"/>
        <w:ind w:hanging="540" w:start="540" w:end="0"/>
        <w:jc w:val="both"/>
        <w:rPr>
          <w:rFonts w:ascii="Arial" w:hAnsi="Arial" w:cs="Arial"/>
        </w:rPr>
      </w:pPr>
      <w:r>
        <w:rPr>
          <w:rFonts w:cs="Arial" w:ascii="Arial" w:hAnsi="Arial"/>
        </w:rPr>
        <w:t>are: wheat, cotton, corn, soybeans, rice, cattle, hogs and pigs, dairy, and poultry. The Update integrates national supply/use and state-level projections, monthly prices, and relevant stock, export, and other market information. The information is presented in both tabular and graphical formats. Available in electronic format only.</w:t>
      </w:r>
    </w:p>
    <w:p>
      <w:pPr>
        <w:pStyle w:val="Normal"/>
        <w:tabs>
          <w:tab w:val="clear" w:pos="432"/>
          <w:tab w:val="left" w:pos="180" w:leader="none"/>
          <w:tab w:val="left" w:pos="720" w:leader="none"/>
          <w:tab w:val="left" w:pos="1260" w:leader="none"/>
          <w:tab w:val="left" w:pos="1800" w:leader="none"/>
        </w:tabs>
        <w:spacing w:before="120" w:after="120"/>
        <w:rPr>
          <w:rFonts w:ascii="Arial" w:hAnsi="Arial" w:cs="Arial"/>
          <w:b/>
          <w:color w:val="0000FF"/>
          <w:sz w:val="24"/>
        </w:rPr>
      </w:pPr>
      <w:r>
        <w:rPr>
          <w:rFonts w:cs="Arial" w:ascii="Arial" w:hAnsi="Arial"/>
          <w:b/>
          <w:color w:val="0000FF"/>
          <w:sz w:val="24"/>
        </w:rPr>
        <w:t>US and World Fertilizer Products</w:t>
      </w:r>
      <w:r>
        <mc:AlternateContent>
          <mc:Choice Requires="wps">
            <w:drawing>
              <wp:anchor behindDoc="0" distT="0" distB="0" distL="118745" distR="118745" simplePos="0" locked="0" layoutInCell="0" allowOverlap="1" relativeHeight="9">
                <wp:simplePos x="0" y="0"/>
                <wp:positionH relativeFrom="page">
                  <wp:posOffset>805180</wp:posOffset>
                </wp:positionH>
                <wp:positionV relativeFrom="paragraph">
                  <wp:posOffset>53975</wp:posOffset>
                </wp:positionV>
                <wp:extent cx="273050" cy="210185"/>
                <wp:effectExtent l="0" t="0" r="19050" b="19050"/>
                <wp:wrapSquare wrapText="bothSides"/>
                <wp:docPr id="14" name="Frame7"/>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4.25pt;mso-position-vertical-relative:text;margin-left:63.4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14">
                <wp:simplePos x="0" y="0"/>
                <wp:positionH relativeFrom="column">
                  <wp:posOffset>232410</wp:posOffset>
                </wp:positionH>
                <wp:positionV relativeFrom="paragraph">
                  <wp:posOffset>59690</wp:posOffset>
                </wp:positionV>
                <wp:extent cx="133985" cy="169545"/>
                <wp:effectExtent l="6985" t="6985" r="5715" b="5715"/>
                <wp:wrapNone/>
                <wp:docPr id="15"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Market Assessment Fertilizer Forecasts and Analysis: </w:t>
      </w:r>
      <w:r>
        <w:rPr>
          <w:rFonts w:cs="Arial" w:ascii="Arial" w:hAnsi="Arial"/>
        </w:rPr>
        <w:t>issued 6 times per year, containing fertilizer product demand, supply, and price models for the US industry. Assessments are issued the month following the US Agriculture Executive Summary.</w: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16">
                <wp:simplePos x="0" y="0"/>
                <wp:positionH relativeFrom="column">
                  <wp:posOffset>232410</wp:posOffset>
                </wp:positionH>
                <wp:positionV relativeFrom="paragraph">
                  <wp:posOffset>59690</wp:posOffset>
                </wp:positionV>
                <wp:extent cx="133985" cy="169545"/>
                <wp:effectExtent l="6985" t="6985" r="5715" b="5715"/>
                <wp:wrapNone/>
                <wp:docPr id="16"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The Long-Term International Fertilizer Forecasts and Analysis (10-year): </w:t>
      </w:r>
      <w:r>
        <w:rPr>
          <w:rFonts w:cs="Arial" w:ascii="Arial" w:hAnsi="Arial"/>
        </w:rPr>
        <w:t>issued annually, containing 10 years of historical data and 10 years of forecast data with analysis covering the primary nutrient demand.  The international fertilizer forecast is comprised of demand projections, application rates for nitrogen, phosphate, and potash for 19 countries and regions and world aggregates. This publication includes written, graphic, and tabular</w:t>
      </w:r>
      <w:r>
        <w:rPr>
          <w:rFonts w:cs="Arial" w:ascii="Arial" w:hAnsi="Arial"/>
          <w:b/>
        </w:rPr>
        <w:t xml:space="preserve"> </w:t>
      </w:r>
      <w:r>
        <w:rPr>
          <w:rFonts w:cs="Arial" w:ascii="Arial" w:hAnsi="Arial"/>
        </w:rPr>
        <w:t>(forecast and historical data) presentations of the fertilizer outlook.  The report is issued in November.</w: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sz w:val="24"/>
        </w:rPr>
      </w:pPr>
      <w:r>
        <w:rPr>
          <w:rFonts w:cs="Arial" w:ascii="Arial" w:hAnsi="Arial"/>
          <w:b/>
          <w:color w:val="0000FF"/>
          <w:sz w:val="24"/>
        </w:rPr>
        <w:t>Canadian</w:t>
      </w:r>
      <w:r>
        <w:rPr>
          <w:rFonts w:cs="Arial" w:ascii="Arial" w:hAnsi="Arial"/>
          <w:b/>
          <w:sz w:val="24"/>
        </w:rPr>
        <w:t xml:space="preserve"> </w:t>
      </w:r>
      <w:r>
        <w:rPr>
          <w:rFonts w:cs="Arial" w:ascii="Arial" w:hAnsi="Arial"/>
          <w:b/>
          <w:color w:val="0000FF"/>
          <w:sz w:val="24"/>
        </w:rPr>
        <w:t>Agriculture Products</w:t>
      </w:r>
    </w:p>
    <w:p>
      <w:pPr>
        <w:pStyle w:val="Normal"/>
        <w:numPr>
          <w:ilvl w:val="0"/>
          <w:numId w:val="5"/>
        </w:numPr>
        <w:spacing w:before="0" w:after="60"/>
        <w:jc w:val="both"/>
        <w:rPr>
          <w:rFonts w:ascii="Arial" w:hAnsi="Arial" w:cs="Arial"/>
        </w:rPr>
      </w:pPr>
      <w:r>
        <mc:AlternateContent>
          <mc:Choice Requires="wps">
            <w:drawing>
              <wp:anchor behindDoc="0" distT="0" distB="0" distL="114935" distR="114935" simplePos="0" locked="0" layoutInCell="1" allowOverlap="1" relativeHeight="13">
                <wp:simplePos x="0" y="0"/>
                <wp:positionH relativeFrom="column">
                  <wp:posOffset>232410</wp:posOffset>
                </wp:positionH>
                <wp:positionV relativeFrom="paragraph">
                  <wp:posOffset>59690</wp:posOffset>
                </wp:positionV>
                <wp:extent cx="133985" cy="169545"/>
                <wp:effectExtent l="6985" t="6985" r="5715" b="5715"/>
                <wp:wrapNone/>
                <wp:docPr id="17"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The Canadian Agriculture Focus: </w:t>
      </w:r>
      <w:r>
        <w:rPr>
          <w:rFonts w:cs="Arial" w:ascii="Arial" w:hAnsi="Arial"/>
        </w:rPr>
        <w:t>Includes bi-monthly forecast updates supported by tables and graphs.  The discussion emphasizes Canadian agriculture, but also reviews US and International issues affecting Canada.  The main theme is to provide the rationale underlying the forecast and highlight the events that have occurred between forecasts.</w:t>
      </w:r>
      <w:r>
        <w:br w:type="page"/>
      </w:r>
    </w:p>
    <w:p>
      <w:pPr>
        <w:pStyle w:val="Normal"/>
        <w:numPr>
          <w:ilvl w:val="0"/>
          <w:numId w:val="5"/>
        </w:numPr>
        <w:spacing w:before="0" w:after="60"/>
        <w:jc w:val="both"/>
        <w:rPr>
          <w:rFonts w:ascii="Arial" w:hAnsi="Arial" w:cs="Arial"/>
        </w:rPr>
      </w:pPr>
      <w:r>
        <mc:AlternateContent>
          <mc:Choice Requires="wps">
            <w:drawing>
              <wp:anchor behindDoc="0" distT="0" distB="0" distL="114935" distR="114935" simplePos="0" locked="0" layoutInCell="1" allowOverlap="1" relativeHeight="15">
                <wp:simplePos x="0" y="0"/>
                <wp:positionH relativeFrom="column">
                  <wp:posOffset>232410</wp:posOffset>
                </wp:positionH>
                <wp:positionV relativeFrom="paragraph">
                  <wp:posOffset>59690</wp:posOffset>
                </wp:positionV>
                <wp:extent cx="133985" cy="169545"/>
                <wp:effectExtent l="6985" t="6985" r="5715" b="5715"/>
                <wp:wrapNone/>
                <wp:docPr id="18"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The Canadian Agriculture Short-Term: </w:t>
      </w:r>
      <w:r>
        <w:rPr>
          <w:rFonts w:cs="Arial" w:ascii="Arial" w:hAnsi="Arial"/>
        </w:rPr>
        <w:t>Detailed forecasts covering crops, livestock, farm income, and food prices.  The Short-Term publication is issued in spring/summer and fall/winter.  Along with a detailed written situation and outlook analysis, the report contains 10 quarters of historical</w:t>
      </w:r>
      <w:r>
        <w:rPr>
          <w:rFonts w:cs="Arial" w:ascii="Arial" w:hAnsi="Arial"/>
          <w:b/>
        </w:rPr>
        <w:t xml:space="preserve"> </w:t>
      </w:r>
      <w:r>
        <w:rPr>
          <w:rFonts w:cs="Arial" w:ascii="Arial" w:hAnsi="Arial"/>
        </w:rPr>
        <w:t>data followed</w:t>
      </w:r>
      <w:r>
        <w:rPr>
          <w:rFonts w:cs="Arial" w:ascii="Arial" w:hAnsi="Arial"/>
          <w:b/>
        </w:rPr>
        <w:t xml:space="preserve"> </w:t>
      </w:r>
      <w:r>
        <w:rPr>
          <w:rFonts w:cs="Arial" w:ascii="Arial" w:hAnsi="Arial"/>
        </w:rPr>
        <w:t>by</w:t>
      </w:r>
      <w:r>
        <w:rPr>
          <w:rFonts w:cs="Arial" w:ascii="Arial" w:hAnsi="Arial"/>
          <w:b/>
        </w:rPr>
        <w:t xml:space="preserve"> </w:t>
      </w:r>
      <w:r>
        <w:rPr>
          <w:rFonts w:cs="Arial" w:ascii="Arial" w:hAnsi="Arial"/>
        </w:rPr>
        <w:t>10</w:t>
      </w:r>
      <w:r>
        <w:rPr>
          <w:rFonts w:cs="Arial" w:ascii="Arial" w:hAnsi="Arial"/>
          <w:b/>
        </w:rPr>
        <w:t xml:space="preserve"> </w:t>
      </w:r>
      <w:r>
        <w:rPr>
          <w:rFonts w:cs="Arial" w:ascii="Arial" w:hAnsi="Arial"/>
        </w:rPr>
        <w:t>quarters of forecast values.  Detailed forecast</w:t>
      </w:r>
      <w:r>
        <w:rPr>
          <w:rFonts w:cs="Arial" w:ascii="Arial" w:hAnsi="Arial"/>
          <w:b/>
        </w:rPr>
        <w:t xml:space="preserve"> </w:t>
      </w:r>
      <w:r>
        <w:rPr>
          <w:rFonts w:cs="Arial" w:ascii="Arial" w:hAnsi="Arial"/>
        </w:rPr>
        <w:t>updates can be provided throughout the year.</w:t>
      </w:r>
    </w:p>
    <w:p>
      <w:pPr>
        <w:pStyle w:val="Normal"/>
        <w:numPr>
          <w:ilvl w:val="0"/>
          <w:numId w:val="5"/>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17">
                <wp:simplePos x="0" y="0"/>
                <wp:positionH relativeFrom="column">
                  <wp:posOffset>232410</wp:posOffset>
                </wp:positionH>
                <wp:positionV relativeFrom="paragraph">
                  <wp:posOffset>59690</wp:posOffset>
                </wp:positionV>
                <wp:extent cx="133985" cy="169545"/>
                <wp:effectExtent l="6985" t="6985" r="5715" b="5715"/>
                <wp:wrapNone/>
                <wp:docPr id="19"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The Canadian Agriculture Long-Term: </w:t>
      </w:r>
      <w:r>
        <w:rPr>
          <w:rFonts w:cs="Arial" w:ascii="Arial" w:hAnsi="Arial"/>
        </w:rPr>
        <w:t>Detailed forecasts covering crops, livestock, farm income, and food prices.  The Long-Term, an annual publication is issued in December/January.  This document contains 10 years of historical data followed by</w:t>
      </w:r>
      <w:r>
        <w:rPr>
          <w:rFonts w:cs="Arial" w:ascii="Arial" w:hAnsi="Arial"/>
          <w:b/>
        </w:rPr>
        <w:t xml:space="preserve"> </w:t>
      </w:r>
      <w:r>
        <w:rPr>
          <w:rFonts w:cs="Arial" w:ascii="Arial" w:hAnsi="Arial"/>
        </w:rPr>
        <w:t>10 years of forecast values as well as a detailed written analysis. Detailed forecast</w:t>
      </w:r>
      <w:r>
        <w:rPr>
          <w:rFonts w:cs="Arial" w:ascii="Arial" w:hAnsi="Arial"/>
          <w:b/>
        </w:rPr>
        <w:t xml:space="preserve"> </w:t>
      </w:r>
      <w:r>
        <w:rPr>
          <w:rFonts w:cs="Arial" w:ascii="Arial" w:hAnsi="Arial"/>
        </w:rPr>
        <w:t>updates can be provided throughout the year.</w:t>
      </w:r>
    </w:p>
    <w:p>
      <w:pPr>
        <w:pStyle w:val="Normal"/>
        <w:numPr>
          <w:ilvl w:val="0"/>
          <w:numId w:val="5"/>
        </w:numPr>
        <w:tabs>
          <w:tab w:val="clear" w:pos="432"/>
          <w:tab w:val="left" w:pos="180" w:leader="none"/>
          <w:tab w:val="left" w:pos="720" w:leader="none"/>
          <w:tab w:val="left" w:pos="1260" w:leader="none"/>
          <w:tab w:val="left" w:pos="1800" w:leader="none"/>
        </w:tabs>
        <w:spacing w:before="0" w:after="120"/>
        <w:jc w:val="both"/>
        <w:rPr>
          <w:rFonts w:ascii="Arial" w:hAnsi="Arial" w:cs="Arial"/>
        </w:rPr>
      </w:pPr>
      <w:r>
        <mc:AlternateContent>
          <mc:Choice Requires="wps">
            <w:drawing>
              <wp:anchor behindDoc="0" distT="0" distB="0" distL="114935" distR="114935" simplePos="0" locked="0" layoutInCell="1" allowOverlap="1" relativeHeight="18">
                <wp:simplePos x="0" y="0"/>
                <wp:positionH relativeFrom="column">
                  <wp:posOffset>232410</wp:posOffset>
                </wp:positionH>
                <wp:positionV relativeFrom="paragraph">
                  <wp:posOffset>59690</wp:posOffset>
                </wp:positionV>
                <wp:extent cx="133985" cy="169545"/>
                <wp:effectExtent l="6985" t="6985" r="5715" b="5715"/>
                <wp:wrapNone/>
                <wp:docPr id="20"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Regional Geographic Analysis: </w:t>
      </w:r>
      <w:r>
        <w:rPr>
          <w:rFonts w:cs="Arial" w:ascii="Arial" w:hAnsi="Arial"/>
        </w:rPr>
        <w:t>The regional forecasts capture the shifts in acreage, yield and production within each agricultural region</w:t>
      </w:r>
      <w:r>
        <w:rPr>
          <w:rFonts w:cs="Arial" w:ascii="Arial" w:hAnsi="Arial"/>
          <w:b/>
        </w:rPr>
        <w:t xml:space="preserve"> </w:t>
      </w:r>
      <w:r>
        <w:rPr>
          <w:rFonts w:cs="Arial" w:ascii="Arial" w:hAnsi="Arial"/>
        </w:rPr>
        <w:t>of the Canadian prairies.  Canadian policy changes and global market trends drive this regional forecast.  Issued in spring, the report covers Manitoba, Saskatchewan, and Alberta. The crops included are wheat, barley, oats, canola, flax, peas, lentils, mustard, canaryseed, and sunflower. Hogs and cattle are also included.</w:t>
      </w:r>
    </w:p>
    <w:p>
      <w:pPr>
        <w:pStyle w:val="Normal"/>
        <w:tabs>
          <w:tab w:val="clear" w:pos="432"/>
          <w:tab w:val="left" w:pos="180" w:leader="none"/>
          <w:tab w:val="left" w:pos="720" w:leader="none"/>
          <w:tab w:val="left" w:pos="1260" w:leader="none"/>
          <w:tab w:val="left" w:pos="1800" w:leader="none"/>
        </w:tabs>
        <w:spacing w:before="0" w:after="120"/>
        <w:jc w:val="both"/>
        <w:rPr>
          <w:rFonts w:ascii="Arial" w:hAnsi="Arial" w:cs="Arial"/>
        </w:rPr>
      </w:pPr>
      <w:r>
        <w:rPr>
          <w:rFonts w:cs="Arial" w:ascii="Arial" w:hAnsi="Arial"/>
        </w:rPr>
      </w:r>
    </w:p>
    <w:p>
      <w:pPr>
        <w:pStyle w:val="Normal"/>
        <w:tabs>
          <w:tab w:val="clear" w:pos="432"/>
          <w:tab w:val="left" w:pos="180" w:leader="none"/>
          <w:tab w:val="left" w:pos="720" w:leader="none"/>
          <w:tab w:val="left" w:pos="1800" w:leader="none"/>
        </w:tabs>
        <w:ind w:hanging="1987" w:start="547" w:end="0"/>
        <w:jc w:val="both"/>
        <w:rPr/>
      </w:pPr>
      <w:r>
        <w:rPr>
          <w:rFonts w:cs="Arial" w:ascii="Arial" w:hAnsi="Arial"/>
          <w:color w:val="FF0000"/>
          <w:sz w:val="24"/>
        </w:rPr>
        <w:tab/>
      </w:r>
      <w:r>
        <w:rPr>
          <w:rFonts w:cs="Arial" w:ascii="Arial" w:hAnsi="Arial"/>
          <w:b/>
          <w:color w:val="0000FF"/>
          <w:sz w:val="24"/>
        </w:rPr>
        <w:t xml:space="preserve">Canadian Commodity Updates: </w:t>
      </w:r>
      <w:r>
        <w:rPr>
          <w:rFonts w:cs="Arial" w:ascii="Arial" w:hAnsi="Arial"/>
        </w:rPr>
        <w:t>bi-monthly updates of agricultural markets.  Those currently</w:t>
      </w:r>
      <w:r>
        <mc:AlternateContent>
          <mc:Choice Requires="wps">
            <w:drawing>
              <wp:anchor behindDoc="0" distT="0" distB="0" distL="118745" distR="118745" simplePos="0" locked="0" layoutInCell="0" allowOverlap="1" relativeHeight="10">
                <wp:simplePos x="0" y="0"/>
                <wp:positionH relativeFrom="page">
                  <wp:posOffset>814070</wp:posOffset>
                </wp:positionH>
                <wp:positionV relativeFrom="paragraph">
                  <wp:posOffset>7620</wp:posOffset>
                </wp:positionV>
                <wp:extent cx="205740" cy="210185"/>
                <wp:effectExtent l="0" t="0" r="19050" b="19050"/>
                <wp:wrapSquare wrapText="bothSides"/>
                <wp:docPr id="21" name="Frame8"/>
                <a:graphic xmlns:a="http://schemas.openxmlformats.org/drawingml/2006/main">
                  <a:graphicData uri="http://schemas.microsoft.com/office/word/2010/wordprocessingShape">
                    <wps:wsp>
                      <wps:cNvSpPr txBox="1"/>
                      <wps:spPr>
                        <a:xfrm>
                          <a:off x="0" y="0"/>
                          <a:ext cx="22479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jc w:val="both"/>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17.7pt;height:18.05pt;mso-wrap-distance-left:9.35pt;mso-wrap-distance-right:9.35pt;mso-wrap-distance-top:0pt;mso-wrap-distance-bottom:0pt;margin-top:0.6pt;mso-position-vertical-relative:text;margin-left:64.1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jc w:val="both"/>
                        <w:rPr/>
                      </w:pPr>
                      <w:r>
                        <w:rPr/>
                      </w:r>
                    </w:p>
                  </w:txbxContent>
                </v:textbox>
                <w10:wrap type="square"/>
              </v:rect>
            </w:pict>
          </mc:Fallback>
        </mc:AlternateContent>
      </w:r>
    </w:p>
    <w:p>
      <w:pPr>
        <w:pStyle w:val="Normal"/>
        <w:tabs>
          <w:tab w:val="clear" w:pos="432"/>
          <w:tab w:val="left" w:pos="180" w:leader="none"/>
          <w:tab w:val="left" w:pos="360" w:leader="none"/>
          <w:tab w:val="left" w:pos="1800" w:leader="none"/>
        </w:tabs>
        <w:spacing w:before="0" w:after="120"/>
        <w:ind w:hanging="2160" w:start="720" w:end="0"/>
        <w:jc w:val="both"/>
        <w:rPr>
          <w:rFonts w:ascii="Arial" w:hAnsi="Arial" w:cs="Arial"/>
        </w:rPr>
      </w:pPr>
      <w:r>
        <w:rPr>
          <w:rFonts w:cs="Arial" w:ascii="Arial" w:hAnsi="Arial"/>
        </w:rPr>
        <w:tab/>
        <w:t xml:space="preserve"> available are: wheat, canola, cattle and hogs and pigs.   Updates for feed grains (barley, oats, and corn) are also planned.  Includes written bullet points discussing the respective markets. Commodity Updates integrate national supply/use projections, monthly prices, and relevant stock, export, and other market information. The information is presented in tabular and graphical formats. Available in electronic format only.</w:t>
      </w:r>
    </w:p>
    <w:p>
      <w:pPr>
        <w:pStyle w:val="Normal"/>
        <w:tabs>
          <w:tab w:val="clear" w:pos="432"/>
          <w:tab w:val="left" w:pos="180" w:leader="none"/>
          <w:tab w:val="left" w:pos="540" w:leader="none"/>
          <w:tab w:val="left" w:pos="1260" w:leader="none"/>
          <w:tab w:val="left" w:pos="1800" w:leader="none"/>
        </w:tabs>
        <w:spacing w:before="0" w:after="120"/>
        <w:rPr>
          <w:rFonts w:ascii="Arial" w:hAnsi="Arial" w:cs="Arial"/>
        </w:rPr>
      </w:pPr>
      <w:r>
        <w:rPr>
          <w:rFonts w:cs="Arial" w:ascii="Arial" w:hAnsi="Arial"/>
        </w:rPr>
      </w:r>
    </w:p>
    <w:p>
      <w:pPr>
        <w:pStyle w:val="Normal"/>
        <w:tabs>
          <w:tab w:val="clear" w:pos="432"/>
          <w:tab w:val="left" w:pos="180" w:leader="none"/>
          <w:tab w:val="left" w:pos="720" w:leader="none"/>
          <w:tab w:val="left" w:pos="1260" w:leader="none"/>
          <w:tab w:val="left" w:pos="1800" w:leader="none"/>
        </w:tabs>
        <w:spacing w:before="120" w:after="120"/>
        <w:rPr>
          <w:rFonts w:ascii="Arial" w:hAnsi="Arial" w:cs="Arial"/>
          <w:b/>
          <w:sz w:val="24"/>
        </w:rPr>
      </w:pPr>
      <w:r>
        <w:rPr>
          <w:rFonts w:cs="Arial" w:ascii="Arial" w:hAnsi="Arial"/>
          <w:b/>
          <w:color w:val="0000FF"/>
          <w:sz w:val="24"/>
        </w:rPr>
        <w:t>International Agriculture Products</w:t>
      </w:r>
      <w:r>
        <mc:AlternateContent>
          <mc:Choice Requires="wps">
            <w:drawing>
              <wp:anchor behindDoc="0" distT="0" distB="0" distL="118745" distR="118745" simplePos="0" locked="0" layoutInCell="0" allowOverlap="1" relativeHeight="11">
                <wp:simplePos x="0" y="0"/>
                <wp:positionH relativeFrom="page">
                  <wp:posOffset>822960</wp:posOffset>
                </wp:positionH>
                <wp:positionV relativeFrom="paragraph">
                  <wp:posOffset>-73660</wp:posOffset>
                </wp:positionV>
                <wp:extent cx="273050" cy="210185"/>
                <wp:effectExtent l="0" t="0" r="19050" b="19050"/>
                <wp:wrapSquare wrapText="bothSides"/>
                <wp:docPr id="22" name="Frame9"/>
                <a:graphic xmlns:a="http://schemas.openxmlformats.org/drawingml/2006/main">
                  <a:graphicData uri="http://schemas.microsoft.com/office/word/2010/wordprocessingShape">
                    <wps:wsp>
                      <wps:cNvSpPr txBox="1"/>
                      <wps:spPr>
                        <a:xfrm>
                          <a:off x="0" y="0"/>
                          <a:ext cx="292100" cy="229235"/>
                        </a:xfrm>
                        <a:prstGeom prst="rect"/>
                        <a:solidFill>
                          <a:srgbClr val="FFFFFF">
                            <a:alpha val="0"/>
                          </a:srgbClr>
                        </a:solidFill>
                        <a:ln w="19050">
                          <a:solidFill>
                            <a:srgbClr val="000000"/>
                          </a:solidFill>
                        </a:ln>
                        <a:effectLst>
                          <a:outerShdw dist="26670" dir="2700000">
                            <a:srgbClr val="000000"/>
                          </a:outerShdw>
                        </a:effectLst>
                      </wps:spPr>
                      <wps:txbx>
                        <w:txbxContent>
                          <w:p>
                            <w:pPr>
                              <w:pStyle w:val="Normal"/>
                              <w:tabs>
                                <w:tab w:val="clear" w:pos="432"/>
                                <w:tab w:val="left" w:pos="180" w:leader="none"/>
                                <w:tab w:val="left" w:pos="720" w:leader="none"/>
                                <w:tab w:val="left" w:pos="1260" w:leader="none"/>
                                <w:tab w:val="left" w:pos="1800" w:leader="none"/>
                              </w:tabs>
                              <w:rPr/>
                            </w:pPr>
                            <w:r>
                              <w:rPr/>
                            </w:r>
                          </w:p>
                        </w:txbxContent>
                      </wps:txbx>
                      <wps:bodyPr anchor="t" lIns="12700" tIns="12700" rIns="12700" bIns="12700">
                        <a:noAutofit/>
                      </wps:bodyPr>
                    </wps:wsp>
                  </a:graphicData>
                </a:graphic>
              </wp:anchor>
            </w:drawing>
          </mc:Choice>
          <mc:Fallback>
            <w:pict>
              <v:rect fillcolor="#FFFFFF" strokecolor="#000000" strokeweight="1pt" style="position:absolute;rotation:-0;width:23pt;height:18.05pt;mso-wrap-distance-left:9.35pt;mso-wrap-distance-right:9.35pt;mso-wrap-distance-top:0pt;mso-wrap-distance-bottom:0pt;margin-top:-5.8pt;mso-position-vertical-relative:text;margin-left:64.8pt;mso-position-horizontal-relative:page">
                <v:shadow on="t" color="#000000" offset="1.5pt,1.5pt"/>
                <v:fill opacity="0f"/>
                <v:textbox inset="0.0138888888888889in,0.0138888888888889in,0.0138888888888889in,0.0138888888888889in">
                  <w:txbxContent>
                    <w:p>
                      <w:pPr>
                        <w:pStyle w:val="Normal"/>
                        <w:tabs>
                          <w:tab w:val="clear" w:pos="432"/>
                          <w:tab w:val="left" w:pos="180" w:leader="none"/>
                          <w:tab w:val="left" w:pos="720" w:leader="none"/>
                          <w:tab w:val="left" w:pos="1260" w:leader="none"/>
                          <w:tab w:val="left" w:pos="1800" w:leader="none"/>
                        </w:tabs>
                        <w:rPr/>
                      </w:pPr>
                      <w:r>
                        <w:rPr/>
                      </w:r>
                    </w:p>
                  </w:txbxContent>
                </v:textbox>
                <w10:wrap type="square"/>
              </v:rect>
            </w:pict>
          </mc:Fallback>
        </mc:AlternateConten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19">
                <wp:simplePos x="0" y="0"/>
                <wp:positionH relativeFrom="column">
                  <wp:posOffset>232410</wp:posOffset>
                </wp:positionH>
                <wp:positionV relativeFrom="paragraph">
                  <wp:posOffset>59690</wp:posOffset>
                </wp:positionV>
                <wp:extent cx="133985" cy="169545"/>
                <wp:effectExtent l="6985" t="6985" r="5715" b="5715"/>
                <wp:wrapNone/>
                <wp:docPr id="23"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International Agriculture Medium-Term (4-year): </w:t>
      </w:r>
      <w:r>
        <w:rPr>
          <w:rFonts w:cs="Arial" w:ascii="Arial" w:hAnsi="Arial"/>
        </w:rPr>
        <w:t>Provides detailed numerical information on and analysis of the 19 major crop producing and consuming countries or regions, along with a world total.  Includes forecasts of area, yield, production, feed/food use, total domestic use, crush (as applicable), beginning and ending stocks, and net trade for wheat, corn, barley, sorghum, other coarse grains, total coarse grains, soybeans, soybean meal, soybean oil, rapeseed, rapeseed meal, rapeseed oil, rice, and cotton. The Medium-Term is issued in February and August.</w: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21">
                <wp:simplePos x="0" y="0"/>
                <wp:positionH relativeFrom="column">
                  <wp:posOffset>232410</wp:posOffset>
                </wp:positionH>
                <wp:positionV relativeFrom="paragraph">
                  <wp:posOffset>59690</wp:posOffset>
                </wp:positionV>
                <wp:extent cx="133985" cy="169545"/>
                <wp:effectExtent l="6985" t="6985" r="5715" b="5715"/>
                <wp:wrapNone/>
                <wp:docPr id="24"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International Agriculture Long-Term (10-year): </w:t>
      </w:r>
      <w:r>
        <w:rPr>
          <w:rFonts w:cs="Arial" w:ascii="Arial" w:hAnsi="Arial"/>
        </w:rPr>
        <w:t>Provides detailed written and numerical information on and analysis of the 19 major crop producing and consuming countries or regions, along with a world total.  Includes forecasts of area, yield, production, feed/food use, total domestic use, crush (as applicable), beginning and ending stocks, and net trade for wheat, corn, barley, sorghum, other coarse grains, total coarse grains, soybeans, soybean meal, soybean oil, rapeseed, rapeseed meal, rapeseed oil, rice, and cotton. The Long-Term is usually issued in May/June and November/December.</w: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22">
                <wp:simplePos x="0" y="0"/>
                <wp:positionH relativeFrom="column">
                  <wp:posOffset>232410</wp:posOffset>
                </wp:positionH>
                <wp:positionV relativeFrom="paragraph">
                  <wp:posOffset>59690</wp:posOffset>
                </wp:positionV>
                <wp:extent cx="133985" cy="169545"/>
                <wp:effectExtent l="6985" t="6985" r="5715" b="5715"/>
                <wp:wrapNone/>
                <wp:docPr id="25"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eastAsia="Symbol" w:cs="Symbol" w:ascii="Symbol" w:hAnsi="Symbol"/>
          <w:color w:val="FF0000"/>
          <w:sz w:val="24"/>
        </w:rPr>
        <w:sym w:font="Symbol" w:char="f02a"/>
      </w:r>
      <w:r>
        <w:rPr>
          <w:rFonts w:eastAsia="Arial" w:cs="Arial" w:ascii="Arial" w:hAnsi="Arial"/>
          <w:b/>
        </w:rPr>
        <w:t xml:space="preserve"> </w:t>
      </w:r>
      <w:r>
        <w:rPr>
          <w:rFonts w:cs="Arial" w:ascii="Arial" w:hAnsi="Arial"/>
          <w:b/>
        </w:rPr>
        <w:t>Agri-View:</w:t>
      </w:r>
      <w:r>
        <w:rPr>
          <w:rFonts w:cs="Arial" w:ascii="Arial" w:hAnsi="Arial"/>
        </w:rPr>
        <w:t xml:space="preserve"> is a biweekly newsletter that discusses relevant and timely topics in international and domestic agriculture, short qualitative economic analyses, and current events. Regular features appearing in the </w:t>
      </w:r>
      <w:r>
        <w:rPr>
          <w:rFonts w:cs="Arial" w:ascii="Arial" w:hAnsi="Arial"/>
          <w:i/>
        </w:rPr>
        <w:t>Agri-View</w:t>
      </w:r>
      <w:r>
        <w:rPr>
          <w:rFonts w:cs="Arial" w:ascii="Arial" w:hAnsi="Arial"/>
        </w:rPr>
        <w:t xml:space="preserve"> are tables and graphs of current and historical US cash commodity prices, tables and graphs of current and historical global cash commodity prices (for select markets) and exchange rates (for select countries) WEFA’s review of agriculture, and a schedule of reports to be released by the USDA. Available electronic format only.</w:t>
      </w:r>
      <w:r>
        <w:br w:type="page"/>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mc:AlternateContent>
          <mc:Choice Requires="wps">
            <w:drawing>
              <wp:anchor behindDoc="0" distT="0" distB="0" distL="114935" distR="114935" simplePos="0" locked="0" layoutInCell="1" allowOverlap="1" relativeHeight="23">
                <wp:simplePos x="0" y="0"/>
                <wp:positionH relativeFrom="column">
                  <wp:posOffset>232410</wp:posOffset>
                </wp:positionH>
                <wp:positionV relativeFrom="paragraph">
                  <wp:posOffset>59690</wp:posOffset>
                </wp:positionV>
                <wp:extent cx="133985" cy="169545"/>
                <wp:effectExtent l="6985" t="6985" r="5715" b="5715"/>
                <wp:wrapNone/>
                <wp:docPr id="26"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International Livestock Market Report (10-year): </w:t>
      </w:r>
      <w:r>
        <w:rPr>
          <w:rFonts w:cs="Arial" w:ascii="Arial" w:hAnsi="Arial"/>
        </w:rPr>
        <w:t xml:space="preserve">Provides detailed information and analysis of major livestock producing countries of the world. Primary livestock sectors covered are cattle, hogs, poultry, and sheep. For cattle, the report includes history and forecast of inventories of total cattle, beef, cows, dairy cows, and history and forecast of annual calf crops. This information is provided for 10 regions and 49 countries. History and forecasts of total hog inventories, sow inventories, and annual pig crops are provided for 9 regions and 41 countries. History and forecast of total sheep inventories, ewe inventories and annual lamb crops are provided for eight regions and 34 countries. History and forecasts for boiler and turkey meat production are provided for 47 countries and for turkey meat production in 9 regions and 27 countries. The report is issued in Spring/Summer and Fall/Winter. </w: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w:rPr>
          <w:rFonts w:eastAsia="Symbol" w:cs="Symbol" w:ascii="Symbol" w:hAnsi="Symbol"/>
          <w:color w:val="FF0000"/>
          <w:sz w:val="24"/>
        </w:rPr>
        <w:sym w:font="Symbol" w:char="f02a"/>
      </w:r>
      <w:r>
        <mc:AlternateContent>
          <mc:Choice Requires="wps">
            <w:drawing>
              <wp:anchor behindDoc="0" distT="0" distB="0" distL="114935" distR="114935" simplePos="0" locked="0" layoutInCell="1" allowOverlap="1" relativeHeight="28">
                <wp:simplePos x="0" y="0"/>
                <wp:positionH relativeFrom="column">
                  <wp:posOffset>232410</wp:posOffset>
                </wp:positionH>
                <wp:positionV relativeFrom="paragraph">
                  <wp:posOffset>59690</wp:posOffset>
                </wp:positionV>
                <wp:extent cx="133985" cy="169545"/>
                <wp:effectExtent l="6985" t="6985" r="5715" b="5715"/>
                <wp:wrapNone/>
                <wp:docPr id="27"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European Union Agriculture Forecast: </w:t>
      </w:r>
      <w:r>
        <w:rPr>
          <w:rFonts w:cs="Arial" w:ascii="Arial" w:hAnsi="Arial"/>
        </w:rPr>
        <w:t>Provides detailed information on and analysis for France, Germany, Italy, Spain, the United Kingdom, and three regional aggregates Benelux, Scandanavian EU, and rest of EU, along with an EU total.  Includes forecasts of area, yield, production, feed/food use, total domestic use, crush (as applicable), beginning and ending stocks, and net trade for wheat, corn, barley, other coarse grains, total coarse grains, soybeans, soybean meal, soybean oil, rapeseed, rapeseed meal, rapeseed oil, rice, sugarbeets, and cotton. The report is issued in Spring and Fall.</w:t>
      </w:r>
    </w:p>
    <w:p>
      <w:pPr>
        <w:pStyle w:val="Normal"/>
        <w:numPr>
          <w:ilvl w:val="0"/>
          <w:numId w:val="6"/>
        </w:numPr>
        <w:tabs>
          <w:tab w:val="clear" w:pos="432"/>
          <w:tab w:val="left" w:pos="180" w:leader="none"/>
          <w:tab w:val="left" w:pos="720" w:leader="none"/>
          <w:tab w:val="left" w:pos="1260" w:leader="none"/>
          <w:tab w:val="left" w:pos="1800" w:leader="none"/>
        </w:tabs>
        <w:spacing w:before="0" w:after="60"/>
        <w:jc w:val="both"/>
        <w:rPr>
          <w:rFonts w:ascii="Arial" w:hAnsi="Arial" w:cs="Arial"/>
        </w:rPr>
      </w:pPr>
      <w:r>
        <w:rPr>
          <w:rFonts w:eastAsia="Symbol" w:cs="Symbol" w:ascii="Symbol" w:hAnsi="Symbol"/>
          <w:color w:val="FF0000"/>
          <w:sz w:val="24"/>
        </w:rPr>
        <w:sym w:font="Symbol" w:char="f02a"/>
      </w:r>
      <w:r>
        <mc:AlternateContent>
          <mc:Choice Requires="wps">
            <w:drawing>
              <wp:anchor behindDoc="0" distT="0" distB="0" distL="114935" distR="114935" simplePos="0" locked="0" layoutInCell="1" allowOverlap="1" relativeHeight="29">
                <wp:simplePos x="0" y="0"/>
                <wp:positionH relativeFrom="column">
                  <wp:posOffset>232410</wp:posOffset>
                </wp:positionH>
                <wp:positionV relativeFrom="paragraph">
                  <wp:posOffset>59690</wp:posOffset>
                </wp:positionV>
                <wp:extent cx="133985" cy="169545"/>
                <wp:effectExtent l="6985" t="6985" r="5715" b="5715"/>
                <wp:wrapNone/>
                <wp:docPr id="28" name=""/>
                <a:graphic xmlns:a="http://schemas.openxmlformats.org/drawingml/2006/main">
                  <a:graphicData uri="http://schemas.microsoft.com/office/word/2010/wordprocessingShape">
                    <wps:wsp>
                      <wps:cNvSpPr/>
                      <wps:spPr>
                        <a:xfrm>
                          <a:off x="0" y="0"/>
                          <a:ext cx="133920" cy="1695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3pt;margin-top:4.7pt;width:10.5pt;height:13.3pt;mso-wrap-style:none;v-text-anchor:middle">
                <v:fill o:detectmouseclick="t" on="false"/>
                <v:stroke color="black" weight="12600" joinstyle="miter" endcap="flat"/>
                <w10:wrap type="none"/>
              </v:rect>
            </w:pict>
          </mc:Fallback>
        </mc:AlternateContent>
      </w:r>
      <w:r>
        <w:rPr>
          <w:rFonts w:cs="Arial" w:ascii="Arial" w:hAnsi="Arial"/>
          <w:b/>
        </w:rPr>
        <w:t xml:space="preserve">European Union Farm Income Forecast: </w:t>
      </w:r>
      <w:r>
        <w:rPr>
          <w:rFonts w:cs="Arial" w:ascii="Arial" w:hAnsi="Arial"/>
        </w:rPr>
        <w:t>Provides detailed information on revenues and costs for agricultural production for France, Germany, Italy, Spain, the United Kingdom, and three regional aggregates Benelux, Scandanavian EU, and rest of EU.  Available twice per year.</w:t>
      </w:r>
    </w:p>
    <w:p>
      <w:pPr>
        <w:pStyle w:val="Normal"/>
        <w:tabs>
          <w:tab w:val="clear" w:pos="432"/>
          <w:tab w:val="left" w:pos="180" w:leader="none"/>
          <w:tab w:val="left" w:pos="720" w:leader="none"/>
          <w:tab w:val="left" w:pos="1260" w:leader="none"/>
          <w:tab w:val="left" w:pos="1800" w:leader="none"/>
        </w:tabs>
        <w:spacing w:before="0" w:after="60"/>
        <w:jc w:val="both"/>
        <w:rPr>
          <w:rFonts w:ascii="Arial" w:hAnsi="Arial" w:cs="Arial"/>
        </w:rPr>
      </w:pPr>
      <w:r>
        <w:rPr>
          <w:rFonts w:cs="Arial" w:ascii="Arial" w:hAnsi="Arial"/>
        </w:rPr>
      </w:r>
    </w:p>
    <w:p>
      <w:pPr>
        <w:pStyle w:val="Normal"/>
        <w:tabs>
          <w:tab w:val="clear" w:pos="432"/>
          <w:tab w:val="left" w:pos="180" w:leader="none"/>
          <w:tab w:val="left" w:pos="720" w:leader="none"/>
          <w:tab w:val="left" w:pos="1260" w:leader="none"/>
          <w:tab w:val="left" w:pos="1800" w:leader="none"/>
        </w:tabs>
        <w:spacing w:before="0" w:after="60"/>
        <w:rPr>
          <w:rFonts w:ascii="Arial" w:hAnsi="Arial" w:cs="Arial"/>
          <w:b/>
          <w:sz w:val="24"/>
        </w:rPr>
      </w:pPr>
      <w:r>
        <w:rPr>
          <w:rFonts w:cs="Arial" w:ascii="Arial" w:hAnsi="Arial"/>
          <w:b/>
          <w:sz w:val="24"/>
        </w:rPr>
        <w:t>Important  WEFA Agriculture Services Phone Numbers:</w:t>
      </w:r>
    </w:p>
    <w:p>
      <w:pPr>
        <w:pStyle w:val="Normal"/>
        <w:numPr>
          <w:ilvl w:val="0"/>
          <w:numId w:val="2"/>
        </w:numPr>
        <w:tabs>
          <w:tab w:val="clear" w:pos="432"/>
          <w:tab w:val="left" w:pos="6210" w:leader="none"/>
          <w:tab w:val="left" w:pos="7830" w:leader="none"/>
        </w:tabs>
        <w:rPr>
          <w:rStyle w:val="FollowedHyperlink"/>
          <w:rFonts w:ascii="Arial" w:hAnsi="Arial" w:cs="Arial"/>
          <w:color w:val="auto"/>
          <w:sz w:val="18"/>
          <w:u w:val="none"/>
        </w:rPr>
      </w:pPr>
      <w:r>
        <w:rPr>
          <w:rFonts w:cs="Arial" w:ascii="Arial" w:hAnsi="Arial"/>
          <w:b/>
          <w:sz w:val="18"/>
        </w:rPr>
        <w:t>Harry Baumes</w:t>
      </w:r>
      <w:r>
        <w:rPr>
          <w:rFonts w:cs="Arial" w:ascii="Arial" w:hAnsi="Arial"/>
          <w:sz w:val="18"/>
        </w:rPr>
        <w:t>, Sr. Vice President, Agriculture Department</w:t>
        <w:tab/>
        <w:t xml:space="preserve">(610) </w:t>
      </w:r>
      <w:r>
        <w:rPr>
          <w:rStyle w:val="FollowedHyperlink"/>
          <w:rFonts w:cs="Arial" w:ascii="Arial" w:hAnsi="Arial"/>
          <w:color w:val="auto"/>
          <w:sz w:val="18"/>
          <w:u w:val="none"/>
        </w:rPr>
        <w:t>490-2521</w:t>
        <w:tab/>
        <w:t>baumes@wefa.com</w:t>
      </w:r>
    </w:p>
    <w:p>
      <w:pPr>
        <w:pStyle w:val="Normal"/>
        <w:numPr>
          <w:ilvl w:val="0"/>
          <w:numId w:val="2"/>
        </w:numPr>
        <w:tabs>
          <w:tab w:val="clear" w:pos="432"/>
          <w:tab w:val="left" w:pos="6210" w:leader="none"/>
          <w:tab w:val="left" w:pos="7830" w:leader="none"/>
        </w:tabs>
        <w:rPr>
          <w:rFonts w:ascii="Arial" w:hAnsi="Arial" w:cs="Arial"/>
          <w:sz w:val="18"/>
        </w:rPr>
      </w:pPr>
      <w:r>
        <w:rPr>
          <w:rFonts w:cs="Arial" w:ascii="Arial" w:hAnsi="Arial"/>
          <w:b/>
          <w:sz w:val="18"/>
        </w:rPr>
        <w:t>Joe Sowers</w:t>
      </w:r>
      <w:r>
        <w:rPr>
          <w:rFonts w:cs="Arial" w:ascii="Arial" w:hAnsi="Arial"/>
          <w:sz w:val="18"/>
        </w:rPr>
        <w:t>, Associate Economist, International Agriculture Services</w:t>
        <w:tab/>
        <w:t>(610) 490-2526</w:t>
        <w:tab/>
        <w:t>joseph.sowers@wefa.com</w:t>
      </w:r>
    </w:p>
    <w:p>
      <w:pPr>
        <w:pStyle w:val="Normal"/>
        <w:numPr>
          <w:ilvl w:val="0"/>
          <w:numId w:val="3"/>
        </w:numPr>
        <w:tabs>
          <w:tab w:val="clear" w:pos="432"/>
          <w:tab w:val="left" w:pos="6210" w:leader="none"/>
          <w:tab w:val="left" w:pos="7830" w:leader="none"/>
        </w:tabs>
        <w:rPr>
          <w:rFonts w:ascii="Arial" w:hAnsi="Arial" w:cs="Arial"/>
          <w:sz w:val="18"/>
        </w:rPr>
      </w:pPr>
      <w:r>
        <w:rPr>
          <w:rFonts w:cs="Arial" w:ascii="Arial" w:hAnsi="Arial"/>
          <w:b/>
          <w:sz w:val="18"/>
        </w:rPr>
        <w:t xml:space="preserve">Stewart Ramsey, </w:t>
      </w:r>
      <w:r>
        <w:rPr>
          <w:rFonts w:cs="Arial" w:ascii="Arial" w:hAnsi="Arial"/>
          <w:sz w:val="18"/>
        </w:rPr>
        <w:t>Director</w:t>
      </w:r>
      <w:r>
        <w:rPr>
          <w:rFonts w:cs="Arial" w:ascii="Arial" w:hAnsi="Arial"/>
          <w:b/>
          <w:sz w:val="18"/>
        </w:rPr>
        <w:t xml:space="preserve">, </w:t>
      </w:r>
      <w:r>
        <w:rPr>
          <w:rFonts w:cs="Arial" w:ascii="Arial" w:hAnsi="Arial"/>
          <w:sz w:val="18"/>
        </w:rPr>
        <w:t>US Agriculture Services</w:t>
        <w:tab/>
        <w:t>(610) 490-2523</w:t>
        <w:tab/>
        <w:t xml:space="preserve">ramsey@wefa.com </w:t>
      </w:r>
    </w:p>
    <w:p>
      <w:pPr>
        <w:pStyle w:val="Normal"/>
        <w:numPr>
          <w:ilvl w:val="0"/>
          <w:numId w:val="3"/>
        </w:numPr>
        <w:tabs>
          <w:tab w:val="clear" w:pos="432"/>
          <w:tab w:val="left" w:pos="6210" w:leader="none"/>
          <w:tab w:val="left" w:pos="7830" w:leader="none"/>
        </w:tabs>
        <w:rPr>
          <w:rFonts w:ascii="Arial" w:hAnsi="Arial" w:cs="Arial"/>
          <w:sz w:val="18"/>
        </w:rPr>
      </w:pPr>
      <w:r>
        <w:rPr>
          <w:rFonts w:cs="Arial" w:ascii="Arial" w:hAnsi="Arial"/>
          <w:b/>
          <w:sz w:val="18"/>
        </w:rPr>
        <w:t>Thomas Jackson</w:t>
      </w:r>
      <w:r>
        <w:rPr>
          <w:rFonts w:cs="Arial" w:ascii="Arial" w:hAnsi="Arial"/>
          <w:sz w:val="18"/>
        </w:rPr>
        <w:t>, Economist, US Agriculture Services</w:t>
        <w:tab/>
        <w:t>(610) 490-2529</w:t>
        <w:tab/>
        <w:t>jackson@wefa.com</w:t>
      </w:r>
    </w:p>
    <w:p>
      <w:pPr>
        <w:pStyle w:val="Normal"/>
        <w:numPr>
          <w:ilvl w:val="0"/>
          <w:numId w:val="3"/>
        </w:numPr>
        <w:tabs>
          <w:tab w:val="clear" w:pos="432"/>
          <w:tab w:val="left" w:pos="6210" w:leader="none"/>
          <w:tab w:val="left" w:pos="7830" w:leader="none"/>
        </w:tabs>
        <w:spacing w:before="0" w:after="120"/>
        <w:rPr>
          <w:rFonts w:ascii="Arial" w:hAnsi="Arial" w:cs="Arial"/>
          <w:sz w:val="18"/>
        </w:rPr>
      </w:pPr>
      <w:r>
        <w:rPr>
          <w:rFonts w:cs="Arial" w:ascii="Arial" w:hAnsi="Arial"/>
          <w:b/>
          <w:sz w:val="18"/>
        </w:rPr>
        <w:t>V. Premakumar</w:t>
      </w:r>
      <w:r>
        <w:rPr>
          <w:rFonts w:cs="Arial" w:ascii="Arial" w:hAnsi="Arial"/>
          <w:sz w:val="18"/>
        </w:rPr>
        <w:t>, Manager, Canadian Agriculture Services</w:t>
        <w:tab/>
        <w:t>(610) 490-2525</w:t>
      </w:r>
      <w:r>
        <w:rPr>
          <w:rStyle w:val="FollowedHyperlink"/>
          <w:rFonts w:cs="Arial" w:ascii="Arial" w:hAnsi="Arial"/>
          <w:color w:val="auto"/>
          <w:sz w:val="18"/>
          <w:u w:val="none"/>
        </w:rPr>
        <w:tab/>
      </w:r>
      <w:r>
        <w:rPr>
          <w:rFonts w:cs="Arial" w:ascii="Arial" w:hAnsi="Arial"/>
          <w:sz w:val="18"/>
        </w:rPr>
        <w:t>prem@wefa.com</w:t>
      </w:r>
    </w:p>
    <w:p>
      <w:pPr>
        <w:pStyle w:val="Normal"/>
        <w:tabs>
          <w:tab w:val="clear" w:pos="432"/>
          <w:tab w:val="left" w:pos="6210" w:leader="none"/>
          <w:tab w:val="left" w:pos="7830" w:leader="none"/>
        </w:tabs>
        <w:spacing w:before="0" w:after="120"/>
        <w:rPr/>
      </w:pPr>
      <w:r>
        <w:rPr>
          <w:rFonts w:cs="Arial" w:ascii="Arial" w:hAnsi="Arial"/>
          <w:b/>
          <w:i/>
          <w:sz w:val="18"/>
        </w:rPr>
        <w:t>WEFA, Inc. Facsimile Number:</w:t>
      </w:r>
      <w:r>
        <w:rPr>
          <w:rFonts w:cs="Arial" w:ascii="Arial" w:hAnsi="Arial"/>
          <w:i/>
          <w:sz w:val="18"/>
        </w:rPr>
        <w:tab/>
      </w:r>
      <w:r>
        <w:rPr>
          <w:rFonts w:cs="Arial" w:ascii="Arial" w:hAnsi="Arial"/>
          <w:sz w:val="18"/>
        </w:rPr>
        <w:t>(610) 490-2770</w:t>
      </w:r>
    </w:p>
    <w:p>
      <w:pPr>
        <w:pStyle w:val="Heading1"/>
        <w:ind w:hanging="0" w:start="0"/>
        <w:rPr/>
      </w:pPr>
      <w:r>
        <w:rPr/>
        <w:t>WEFA, Inc. Home Page: www.wefa.com</w:t>
      </w:r>
    </w:p>
    <w:p>
      <w:pPr>
        <w:pStyle w:val="Normal"/>
        <w:pBdr>
          <w:bottom w:val="single" w:sz="18" w:space="1" w:color="000000"/>
        </w:pBdr>
        <w:spacing w:before="0" w:after="120"/>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r>
    </w:p>
    <w:p>
      <w:pPr>
        <w:pStyle w:val="Normal"/>
        <w:shd w:fill="F2F2F2" w:val="clear"/>
        <w:tabs>
          <w:tab w:val="clear" w:pos="432"/>
          <w:tab w:val="left" w:pos="180" w:leader="none"/>
          <w:tab w:val="left" w:pos="720" w:leader="none"/>
          <w:tab w:val="left" w:pos="1260" w:leader="none"/>
          <w:tab w:val="left" w:pos="1800" w:leader="none"/>
        </w:tabs>
        <w:spacing w:before="0" w:after="120"/>
        <w:rPr>
          <w:rFonts w:ascii="Arial" w:hAnsi="Arial" w:cs="Arial"/>
          <w:b/>
          <w:sz w:val="24"/>
        </w:rPr>
      </w:pPr>
      <w:r>
        <w:rPr>
          <w:rFonts w:cs="Arial" w:ascii="Arial" w:hAnsi="Arial"/>
          <w:b/>
          <w:sz w:val="24"/>
        </w:rPr>
        <w:t>Vital Information</w:t>
      </w:r>
    </w:p>
    <w:p>
      <w:pPr>
        <w:pStyle w:val="Normal"/>
        <w:pBdr>
          <w:bottom w:val="single" w:sz="6" w:space="1" w:color="000000"/>
        </w:pBdr>
        <w:tabs>
          <w:tab w:val="clear" w:pos="432"/>
          <w:tab w:val="left" w:pos="180" w:leader="none"/>
          <w:tab w:val="left" w:pos="720" w:leader="none"/>
          <w:tab w:val="left" w:pos="1260" w:leader="none"/>
          <w:tab w:val="left" w:pos="1800" w:leader="none"/>
        </w:tabs>
        <w:spacing w:before="0" w:after="120"/>
        <w:rPr>
          <w:rFonts w:ascii="Arial" w:hAnsi="Arial" w:cs="Arial"/>
          <w:sz w:val="24"/>
        </w:rPr>
      </w:pPr>
      <w:r>
        <w:rPr>
          <w:rFonts w:cs="Arial" w:ascii="Arial" w:hAnsi="Arial"/>
          <w:b/>
          <w:sz w:val="24"/>
        </w:rPr>
        <w:t>Name:</w:t>
      </w:r>
    </w:p>
    <w:p>
      <w:pPr>
        <w:sectPr>
          <w:type w:val="continuous"/>
          <w:pgSz w:w="12240" w:h="15840"/>
          <w:pgMar w:left="1440" w:right="720" w:gutter="0" w:header="0" w:top="1008" w:footer="0" w:bottom="1008"/>
          <w:formProt w:val="false"/>
          <w:textDirection w:val="lrTb"/>
          <w:docGrid w:type="default" w:linePitch="360" w:charSpace="0"/>
        </w:sectPr>
      </w:pPr>
    </w:p>
    <w:p>
      <w:pPr>
        <w:pStyle w:val="Normal"/>
        <w:pBdr>
          <w:bottom w:val="single" w:sz="6" w:space="1" w:color="000000"/>
        </w:pBdr>
        <w:tabs>
          <w:tab w:val="clear" w:pos="432"/>
          <w:tab w:val="left" w:pos="180" w:leader="none"/>
          <w:tab w:val="left" w:pos="720" w:leader="none"/>
          <w:tab w:val="left" w:pos="1260" w:leader="none"/>
          <w:tab w:val="left" w:pos="1800" w:leader="none"/>
        </w:tabs>
        <w:spacing w:before="0" w:after="120"/>
        <w:rPr>
          <w:rFonts w:ascii="Arial" w:hAnsi="Arial" w:cs="Arial"/>
          <w:b/>
          <w:sz w:val="24"/>
        </w:rPr>
      </w:pPr>
      <w:r>
        <w:rPr>
          <w:rFonts w:cs="Arial" w:ascii="Arial" w:hAnsi="Arial"/>
          <w:b/>
          <w:sz w:val="24"/>
        </w:rPr>
        <w:t>Company:</w:t>
      </w:r>
    </w:p>
    <w:p>
      <w:pPr>
        <w:sectPr>
          <w:type w:val="continuous"/>
          <w:pgSz w:w="12240" w:h="15840"/>
          <w:pgMar w:left="1440" w:right="1080" w:gutter="0" w:header="0" w:top="1008" w:footer="0" w:bottom="1008"/>
          <w:formProt w:val="false"/>
          <w:textDirection w:val="lrTb"/>
          <w:docGrid w:type="default" w:linePitch="360" w:charSpace="0"/>
        </w:sectPr>
      </w:pPr>
    </w:p>
    <w:p>
      <w:pPr>
        <w:pStyle w:val="Normal"/>
        <w:pBdr>
          <w:bottom w:val="single" w:sz="6" w:space="1" w:color="000000"/>
        </w:pBdr>
        <w:tabs>
          <w:tab w:val="clear" w:pos="432"/>
          <w:tab w:val="left" w:pos="180" w:leader="none"/>
          <w:tab w:val="left" w:pos="720" w:leader="none"/>
          <w:tab w:val="left" w:pos="1260" w:leader="none"/>
          <w:tab w:val="left" w:pos="1800" w:leader="none"/>
        </w:tabs>
        <w:spacing w:before="0" w:after="120"/>
        <w:rPr>
          <w:rFonts w:ascii="Arial" w:hAnsi="Arial" w:cs="Arial"/>
          <w:b/>
          <w:sz w:val="24"/>
        </w:rPr>
      </w:pPr>
      <w:r>
        <w:rPr>
          <w:rFonts w:cs="Arial" w:ascii="Arial" w:hAnsi="Arial"/>
          <w:b/>
          <w:sz w:val="24"/>
        </w:rPr>
        <w:t>Business Address:</w:t>
      </w:r>
    </w:p>
    <w:p>
      <w:pPr>
        <w:sectPr>
          <w:type w:val="continuous"/>
          <w:pgSz w:w="12240" w:h="15840"/>
          <w:pgMar w:left="1440" w:right="1080" w:gutter="0" w:header="0" w:top="1008" w:footer="0" w:bottom="1008"/>
          <w:formProt w:val="false"/>
          <w:textDirection w:val="lrTb"/>
          <w:docGrid w:type="default" w:linePitch="360" w:charSpace="0"/>
        </w:sectPr>
      </w:pPr>
    </w:p>
    <w:p>
      <w:pPr>
        <w:pStyle w:val="Normal"/>
        <w:pBdr>
          <w:bottom w:val="single" w:sz="6" w:space="1" w:color="000000"/>
        </w:pBdr>
        <w:tabs>
          <w:tab w:val="clear" w:pos="432"/>
          <w:tab w:val="left" w:pos="180" w:leader="none"/>
          <w:tab w:val="left" w:pos="720" w:leader="none"/>
          <w:tab w:val="left" w:pos="1260" w:leader="none"/>
          <w:tab w:val="left" w:pos="1800" w:leader="none"/>
        </w:tabs>
        <w:spacing w:before="0" w:after="120"/>
        <w:rPr>
          <w:rFonts w:ascii="Arial" w:hAnsi="Arial" w:cs="Arial"/>
          <w:b/>
          <w:sz w:val="24"/>
        </w:rPr>
      </w:pPr>
      <w:r>
        <w:rPr>
          <w:rFonts w:cs="Arial" w:ascii="Arial" w:hAnsi="Arial"/>
          <w:b/>
          <w:sz w:val="24"/>
        </w:rPr>
        <w:t>Phone Number:</w:t>
      </w:r>
    </w:p>
    <w:p>
      <w:pPr>
        <w:sectPr>
          <w:type w:val="continuous"/>
          <w:pgSz w:w="12240" w:h="15840"/>
          <w:pgMar w:left="1440" w:right="1080" w:gutter="0" w:header="0" w:top="1008" w:footer="0" w:bottom="1008"/>
          <w:formProt w:val="false"/>
          <w:textDirection w:val="lrTb"/>
          <w:docGrid w:type="default" w:linePitch="360" w:charSpace="0"/>
        </w:sectPr>
      </w:pPr>
    </w:p>
    <w:p>
      <w:pPr>
        <w:pStyle w:val="Normal"/>
        <w:pBdr>
          <w:bottom w:val="single" w:sz="6" w:space="1" w:color="000000"/>
        </w:pBdr>
        <w:tabs>
          <w:tab w:val="clear" w:pos="432"/>
          <w:tab w:val="left" w:pos="180" w:leader="none"/>
          <w:tab w:val="left" w:pos="720" w:leader="none"/>
          <w:tab w:val="left" w:pos="1260" w:leader="none"/>
          <w:tab w:val="left" w:pos="1800" w:leader="none"/>
        </w:tabs>
        <w:spacing w:before="0" w:after="120"/>
        <w:rPr>
          <w:rFonts w:ascii="Arial" w:hAnsi="Arial" w:cs="Arial"/>
          <w:b/>
          <w:sz w:val="24"/>
        </w:rPr>
      </w:pPr>
      <w:r>
        <w:rPr>
          <w:rFonts w:cs="Arial" w:ascii="Arial" w:hAnsi="Arial"/>
          <w:b/>
          <w:sz w:val="24"/>
        </w:rPr>
        <w:t>Facsimile Number:</w:t>
      </w:r>
    </w:p>
    <w:p>
      <w:pPr>
        <w:sectPr>
          <w:type w:val="continuous"/>
          <w:pgSz w:w="12240" w:h="15840"/>
          <w:pgMar w:left="1440" w:right="1080" w:gutter="0" w:header="0" w:top="1008" w:footer="0" w:bottom="1008"/>
          <w:formProt w:val="false"/>
          <w:textDirection w:val="lrTb"/>
          <w:docGrid w:type="default" w:linePitch="360" w:charSpace="0"/>
        </w:sectPr>
      </w:pPr>
    </w:p>
    <w:p>
      <w:pPr>
        <w:pStyle w:val="Normal"/>
        <w:tabs>
          <w:tab w:val="clear" w:pos="432"/>
          <w:tab w:val="left" w:pos="180" w:leader="none"/>
          <w:tab w:val="left" w:pos="720" w:leader="none"/>
          <w:tab w:val="left" w:pos="1260" w:leader="none"/>
          <w:tab w:val="left" w:pos="1800" w:leader="none"/>
        </w:tabs>
        <w:spacing w:before="0" w:after="120"/>
        <w:rPr>
          <w:rFonts w:ascii="Arial" w:hAnsi="Arial" w:cs="Arial"/>
          <w:b/>
          <w:sz w:val="24"/>
        </w:rPr>
      </w:pPr>
      <w:r>
        <w:rPr>
          <w:rFonts w:cs="Arial" w:ascii="Arial" w:hAnsi="Arial"/>
          <w:b/>
          <w:sz w:val="24"/>
        </w:rPr>
      </w:r>
    </w:p>
    <w:p>
      <w:pPr>
        <w:pStyle w:val="Normal"/>
        <w:tabs>
          <w:tab w:val="clear" w:pos="432"/>
          <w:tab w:val="left" w:pos="180" w:leader="none"/>
          <w:tab w:val="left" w:pos="720" w:leader="none"/>
          <w:tab w:val="left" w:pos="1260" w:leader="none"/>
          <w:tab w:val="left" w:pos="1800" w:leader="none"/>
        </w:tabs>
        <w:spacing w:before="0" w:after="120"/>
        <w:rPr>
          <w:rFonts w:ascii="Arial" w:hAnsi="Arial" w:cs="Arial"/>
          <w:b/>
        </w:rPr>
      </w:pPr>
      <w:r>
        <w:rPr>
          <w:rFonts w:cs="Arial" w:ascii="Arial" w:hAnsi="Arial"/>
          <w:b/>
        </w:rPr>
        <w:tab/>
        <w:tab/>
        <w:tab/>
        <w:tab/>
        <w:tab/>
        <w:tab/>
        <w:tab/>
        <w:tab/>
        <w:tab/>
        <w:t>WEFA, Inc.</w:t>
      </w:r>
    </w:p>
    <w:p>
      <w:pPr>
        <w:pStyle w:val="Normal"/>
        <w:tabs>
          <w:tab w:val="clear" w:pos="432"/>
          <w:tab w:val="left" w:pos="180" w:leader="none"/>
          <w:tab w:val="left" w:pos="720" w:leader="none"/>
          <w:tab w:val="left" w:pos="1260" w:leader="none"/>
          <w:tab w:val="left" w:pos="1800" w:leader="none"/>
        </w:tabs>
        <w:spacing w:before="0" w:after="120"/>
        <w:rPr>
          <w:rFonts w:ascii="Arial" w:hAnsi="Arial" w:cs="Arial"/>
        </w:rPr>
      </w:pPr>
      <w:r>
        <w:rPr>
          <w:rFonts w:cs="Arial" w:ascii="Arial" w:hAnsi="Arial"/>
        </w:rPr>
        <w:tab/>
        <w:tab/>
        <w:tab/>
        <w:tab/>
        <w:tab/>
        <w:tab/>
        <w:tab/>
        <w:tab/>
        <w:tab/>
        <w:t>Attn.: Harry Baumes</w:t>
      </w:r>
    </w:p>
    <w:p>
      <w:pPr>
        <w:pStyle w:val="Normal"/>
        <w:tabs>
          <w:tab w:val="clear" w:pos="432"/>
          <w:tab w:val="left" w:pos="180" w:leader="none"/>
          <w:tab w:val="left" w:pos="720" w:leader="none"/>
          <w:tab w:val="left" w:pos="1260" w:leader="none"/>
          <w:tab w:val="left" w:pos="1800" w:leader="none"/>
        </w:tabs>
        <w:spacing w:before="0" w:after="120"/>
        <w:rPr/>
      </w:pPr>
      <w:r>
        <w:rPr>
          <w:rFonts w:cs="Arial" w:ascii="Arial" w:hAnsi="Arial"/>
          <w:b/>
        </w:rPr>
        <w:tab/>
        <w:tab/>
        <w:tab/>
        <w:tab/>
        <w:tab/>
        <w:tab/>
        <w:tab/>
        <w:tab/>
        <w:tab/>
      </w:r>
      <w:r>
        <w:rPr>
          <w:rFonts w:cs="Arial" w:ascii="Arial" w:hAnsi="Arial"/>
        </w:rPr>
        <w:t>800 Baldwin Tower</w:t>
      </w:r>
    </w:p>
    <w:p>
      <w:pPr>
        <w:pStyle w:val="Normal"/>
        <w:tabs>
          <w:tab w:val="clear" w:pos="432"/>
          <w:tab w:val="left" w:pos="180" w:leader="none"/>
          <w:tab w:val="left" w:pos="720" w:leader="none"/>
          <w:tab w:val="left" w:pos="1260" w:leader="none"/>
          <w:tab w:val="left" w:pos="1800" w:leader="none"/>
        </w:tabs>
        <w:spacing w:before="0" w:after="120"/>
        <w:rPr>
          <w:rFonts w:ascii="Arial" w:hAnsi="Arial" w:cs="Arial"/>
        </w:rPr>
      </w:pPr>
      <w:r>
        <w:rPr>
          <w:rFonts w:cs="Arial" w:ascii="Arial" w:hAnsi="Arial"/>
        </w:rPr>
        <w:tab/>
        <w:tab/>
        <w:tab/>
        <w:tab/>
        <w:tab/>
        <w:tab/>
        <w:tab/>
        <w:tab/>
        <w:tab/>
        <w:t>Eddystone, PA  19022</w:t>
      </w:r>
    </w:p>
    <w:sectPr>
      <w:type w:val="continuous"/>
      <w:pgSz w:w="12240" w:h="15840"/>
      <w:pgMar w:left="1440" w:right="1080" w:gutter="0" w:header="0" w:top="1008" w:footer="0" w:bottom="100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sz w:val="20"/>
      </w:rPr>
    </w:lvl>
  </w:abstractNum>
  <w:abstractNum w:abstractNumId="5">
    <w:lvl w:ilvl="0">
      <w:numFmt w:val="bullet"/>
      <w:lvlText w:val=""/>
      <w:lvlJc w:val="start"/>
      <w:pPr>
        <w:tabs>
          <w:tab w:val="num" w:pos="360"/>
        </w:tabs>
        <w:ind w:start="720" w:hanging="360"/>
      </w:pPr>
      <w:rPr>
        <w:rFonts w:ascii="Symbol" w:hAnsi="Symbol" w:cs="Symbol" w:hint="default"/>
        <w:sz w:val="36"/>
      </w:rPr>
    </w:lvl>
  </w:abstractNum>
  <w:abstractNum w:abstractNumId="6">
    <w:lvl w:ilvl="0">
      <w:numFmt w:val="bullet"/>
      <w:lvlText w:val=""/>
      <w:lvlJc w:val="start"/>
      <w:pPr>
        <w:tabs>
          <w:tab w:val="num" w:pos="360"/>
        </w:tabs>
        <w:ind w:start="720" w:hanging="360"/>
      </w:pPr>
      <w:rPr>
        <w:rFonts w:ascii="Symbol" w:hAnsi="Symbol" w:cs="Symbol" w:hint="default"/>
        <w:sz w:val="3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i/>
      <w:color w:val="FF000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St1z0">
    <w:name w:val="WW8NumSt1z0"/>
    <w:qFormat/>
    <w:rPr>
      <w:rFonts w:ascii="Symbol" w:hAnsi="Symbol" w:cs="Symbol"/>
      <w:sz w:val="20"/>
    </w:rPr>
  </w:style>
  <w:style w:type="character" w:styleId="WW8NumSt2z0">
    <w:name w:val="WW8NumSt2z0"/>
    <w:qFormat/>
    <w:rPr>
      <w:rFonts w:ascii="Symbol" w:hAnsi="Symbol" w:cs="Symbol"/>
      <w:sz w:val="36"/>
    </w:rPr>
  </w:style>
  <w:style w:type="character" w:styleId="WW8NumSt3z0">
    <w:name w:val="WW8NumSt3z0"/>
    <w:qFormat/>
    <w:rPr>
      <w:rFonts w:ascii="Symbol" w:hAnsi="Symbol" w:cs="Symbol"/>
      <w:sz w:val="36"/>
    </w:rPr>
  </w:style>
  <w:style w:type="character" w:styleId="WW8NumSt4z0">
    <w:name w:val="WW8NumSt4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1">
    <w:name w:val="indent1"/>
    <w:qFormat/>
    <w:pPr>
      <w:widowControl/>
      <w:tabs>
        <w:tab w:val="clear" w:pos="432"/>
        <w:tab w:val="right" w:pos="10080" w:leader="dot"/>
      </w:tabs>
      <w:bidi w:val="0"/>
      <w:spacing w:lineRule="exact" w:line="260" w:before="58" w:after="58"/>
      <w:ind w:hanging="360" w:start="1080" w:end="0"/>
    </w:pPr>
    <w:rPr>
      <w:rFonts w:ascii="Helvetica" w:hAnsi="Helvetica" w:eastAsia="Times New Roman" w:cs="Helvetica"/>
      <w:color w:val="auto"/>
      <w:sz w:val="20"/>
      <w:szCs w:val="20"/>
      <w:lang w:val="en-US" w:eastAsia="zh-CN" w:bidi="hi-IN"/>
    </w:rPr>
  </w:style>
  <w:style w:type="paragraph" w:styleId="TOC9">
    <w:name w:val="toc 9"/>
    <w:basedOn w:val="Normal"/>
    <w:next w:val="Normal"/>
    <w:pPr>
      <w:tabs>
        <w:tab w:val="clear" w:pos="432"/>
        <w:tab w:val="right" w:pos="9720" w:leader="dot"/>
      </w:tabs>
      <w:ind w:hanging="0" w:start="1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2001-05-11T04:51:00Z</dcterms:created>
  <dc:creator>rp</dc:creator>
  <dc:description/>
  <dc:language>en-CA</dc:language>
  <cp:lastModifiedBy>Systems Department</cp:lastModifiedBy>
  <cp:lastPrinted>2000-01-18T14:26:00Z</cp:lastPrinted>
  <dcterms:modified xsi:type="dcterms:W3CDTF">2001-05-11T04:51:00Z</dcterms:modified>
  <cp:revision>2</cp:revision>
  <dc:subject/>
  <dc:title>WEFA Group Agriculture Services</dc:title>
</cp:coreProperties>
</file>