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jc w:val="center"/>
        <w:rPr>
          <w:rFonts w:ascii="Courier" w:hAnsi="Courier" w:cs="Courier"/>
          <w:b/>
          <w:bCs/>
          <w:color w:val="000000"/>
          <w:sz w:val="28"/>
          <w:szCs w:val="20"/>
        </w:rPr>
      </w:pPr>
      <w:r>
        <w:rPr>
          <w:rFonts w:cs="Courier" w:ascii="Courier" w:hAnsi="Courier"/>
          <w:b/>
          <w:bCs/>
          <w:color w:val="000000"/>
          <w:sz w:val="28"/>
          <w:szCs w:val="20"/>
        </w:rPr>
        <w:t>ENRON Power Marketing Inc Speaker Notes for the</w:t>
      </w:r>
    </w:p>
    <w:p>
      <w:pPr>
        <w:pStyle w:val="Normal"/>
        <w:autoSpaceDE w:val="false"/>
        <w:spacing w:lineRule="atLeast" w:line="240"/>
        <w:jc w:val="center"/>
        <w:rPr>
          <w:rFonts w:ascii="Courier" w:hAnsi="Courier" w:cs="Courier"/>
          <w:b/>
          <w:bCs/>
          <w:color w:val="000000"/>
          <w:sz w:val="28"/>
          <w:szCs w:val="20"/>
        </w:rPr>
      </w:pPr>
      <w:r>
        <w:rPr>
          <w:rFonts w:cs="Courier" w:ascii="Courier" w:hAnsi="Courier"/>
          <w:b/>
          <w:bCs/>
          <w:color w:val="000000"/>
          <w:sz w:val="28"/>
          <w:szCs w:val="20"/>
        </w:rPr>
        <w:t>FERC Inter-Regional Coordination Technical Conference</w:t>
      </w:r>
    </w:p>
    <w:p>
      <w:pPr>
        <w:pStyle w:val="Normal"/>
        <w:autoSpaceDE w:val="false"/>
        <w:spacing w:lineRule="atLeast" w:line="240"/>
        <w:jc w:val="center"/>
        <w:rPr>
          <w:rFonts w:ascii="Courier" w:hAnsi="Courier" w:cs="Courier"/>
          <w:b/>
          <w:bCs/>
          <w:color w:val="000000"/>
          <w:sz w:val="28"/>
          <w:szCs w:val="20"/>
        </w:rPr>
      </w:pPr>
      <w:r>
        <w:rPr>
          <w:rFonts w:cs="Courier" w:ascii="Courier" w:hAnsi="Courier"/>
          <w:b/>
          <w:bCs/>
          <w:color w:val="000000"/>
          <w:sz w:val="28"/>
          <w:szCs w:val="20"/>
        </w:rPr>
        <w:t>June 19, 2001</w:t>
      </w:r>
    </w:p>
    <w:p>
      <w:pPr>
        <w:pStyle w:val="Normal"/>
        <w:autoSpaceDE w:val="false"/>
        <w:spacing w:lineRule="atLeast" w:line="240"/>
        <w:jc w:val="center"/>
        <w:rPr>
          <w:rFonts w:ascii="Courier" w:hAnsi="Courier" w:cs="Courier"/>
          <w:b/>
          <w:bCs/>
          <w:color w:val="000000"/>
          <w:sz w:val="28"/>
          <w:szCs w:val="20"/>
        </w:rPr>
      </w:pPr>
      <w:r>
        <w:rPr>
          <w:rFonts w:cs="Courier" w:ascii="Courier" w:hAnsi="Courier"/>
          <w:b/>
          <w:bCs/>
          <w:color w:val="000000"/>
          <w:sz w:val="28"/>
          <w:szCs w:val="20"/>
        </w:rPr>
      </w:r>
    </w:p>
    <w:p>
      <w:pPr>
        <w:pStyle w:val="Normal"/>
        <w:autoSpaceDE w:val="false"/>
        <w:spacing w:lineRule="atLeast" w:line="240"/>
        <w:rPr/>
      </w:pPr>
      <w:r>
        <w:rPr/>
        <w:t>Opening</w:t>
      </w:r>
    </w:p>
    <w:p>
      <w:pPr>
        <w:pStyle w:val="Normal"/>
        <w:autoSpaceDE w:val="false"/>
        <w:spacing w:lineRule="atLeast" w:line="240"/>
        <w:rPr/>
      </w:pPr>
      <w:r>
        <w:rPr/>
      </w:r>
    </w:p>
    <w:p>
      <w:pPr>
        <w:pStyle w:val="Normal"/>
        <w:autoSpaceDE w:val="false"/>
        <w:spacing w:lineRule="atLeast" w:line="240"/>
        <w:rPr/>
      </w:pPr>
      <w:r>
        <w:rPr/>
        <w:t>Thank you to the Commission for providing a forum at the FERC level to highlight the concerns of entities such as Enron in its continuing efforts to develop a truly open and competitive electricity market in North America.</w:t>
      </w:r>
    </w:p>
    <w:p>
      <w:pPr>
        <w:pStyle w:val="Normal"/>
        <w:autoSpaceDE w:val="false"/>
        <w:spacing w:lineRule="atLeast" w:line="240"/>
        <w:rPr/>
      </w:pPr>
      <w:r>
        <w:rPr/>
      </w:r>
    </w:p>
    <w:p>
      <w:pPr>
        <w:pStyle w:val="Normal"/>
        <w:autoSpaceDE w:val="false"/>
        <w:spacing w:lineRule="atLeast" w:line="240"/>
        <w:rPr/>
      </w:pPr>
      <w:r>
        <w:rPr/>
        <w:t>Enron believes the outcome of this FERC Technical Workshop must emphasize to the RTO designers that the resolution of inter-Regional seams is important to provide for feasible wholesale energy markets that extend beyond RTO borders.  We hope FERC will be able to take actions that will accelerate work in this area to avoid the likelihood of RTOs creating systems and spending significant dollars that are irreversible.</w:t>
      </w:r>
    </w:p>
    <w:p>
      <w:pPr>
        <w:pStyle w:val="Normal"/>
        <w:autoSpaceDE w:val="false"/>
        <w:spacing w:lineRule="atLeast" w:line="240"/>
        <w:rPr/>
      </w:pPr>
      <w:r>
        <w:rPr/>
      </w:r>
    </w:p>
    <w:p>
      <w:pPr>
        <w:pStyle w:val="Normal"/>
        <w:autoSpaceDE w:val="false"/>
        <w:spacing w:lineRule="atLeast" w:line="240"/>
        <w:rPr/>
      </w:pPr>
      <w:r>
        <w:rPr/>
        <w:t xml:space="preserve">Enron’s Concerns On Inter-Regional Scheduling </w:t>
      </w:r>
    </w:p>
    <w:p>
      <w:pPr>
        <w:pStyle w:val="Normal"/>
        <w:autoSpaceDE w:val="false"/>
        <w:spacing w:lineRule="atLeast" w:line="240"/>
        <w:rPr/>
      </w:pPr>
      <w:r>
        <w:rPr/>
      </w:r>
    </w:p>
    <w:p>
      <w:pPr>
        <w:pStyle w:val="Normal"/>
        <w:autoSpaceDE w:val="false"/>
        <w:spacing w:lineRule="atLeast" w:line="240"/>
        <w:rPr/>
      </w:pPr>
      <w:r>
        <w:rPr/>
        <w:t>Specific systems and software are needed to facilitate not only intra-RTO markets, but to provide seamless reservation and scheduling of transmission service for “into”, “out of” and “through” transactions.</w:t>
      </w:r>
    </w:p>
    <w:p>
      <w:pPr>
        <w:pStyle w:val="Normal"/>
        <w:autoSpaceDE w:val="false"/>
        <w:spacing w:lineRule="atLeast" w:line="240"/>
        <w:rPr/>
      </w:pPr>
      <w:r>
        <w:rPr/>
      </w:r>
    </w:p>
    <w:p>
      <w:pPr>
        <w:pStyle w:val="Normal"/>
        <w:numPr>
          <w:ilvl w:val="0"/>
          <w:numId w:val="1"/>
        </w:numPr>
        <w:autoSpaceDE w:val="false"/>
        <w:spacing w:lineRule="atLeast" w:line="240"/>
        <w:rPr/>
      </w:pPr>
      <w:r>
        <w:rPr/>
        <w:t xml:space="preserve">Enron participates (along with many other EPSA members) in the Electronic Scheduling Collaborative and feels this Collaborative has worked diligently in trying to find “common ground” to establish common industry wide business practices for OASIS Phase II.  </w:t>
      </w:r>
    </w:p>
    <w:p>
      <w:pPr>
        <w:pStyle w:val="Normal"/>
        <w:numPr>
          <w:ilvl w:val="1"/>
          <w:numId w:val="1"/>
        </w:numPr>
        <w:autoSpaceDE w:val="false"/>
        <w:spacing w:lineRule="atLeast" w:line="240"/>
        <w:rPr/>
      </w:pPr>
      <w:r>
        <w:rPr/>
        <w:t xml:space="preserve">It has met with some success as evidenced in its current postings of proposed standard practices in the areas of transmission losses, schedule types, schedule data elements and ramping standards.  </w:t>
      </w:r>
    </w:p>
    <w:p>
      <w:pPr>
        <w:pStyle w:val="Normal"/>
        <w:numPr>
          <w:ilvl w:val="1"/>
          <w:numId w:val="1"/>
        </w:numPr>
        <w:autoSpaceDE w:val="false"/>
        <w:spacing w:lineRule="atLeast" w:line="240"/>
        <w:rPr/>
      </w:pPr>
      <w:r>
        <w:rPr/>
        <w:t>These all are important to resolving inter-Regional seams issues but are primarily relevant to communications for the single OASIS II platform.</w:t>
      </w:r>
    </w:p>
    <w:p>
      <w:pPr>
        <w:pStyle w:val="Normal"/>
        <w:numPr>
          <w:ilvl w:val="1"/>
          <w:numId w:val="1"/>
        </w:numPr>
        <w:autoSpaceDE w:val="false"/>
        <w:spacing w:lineRule="atLeast" w:line="240"/>
        <w:rPr/>
      </w:pPr>
      <w:r>
        <w:rPr/>
        <w:t>What is still lacking is the ability for this and other industry collaborative efforts to resolve the multitude of individual RTO transmission reservation and scheduling requirements that will hinder the ability to create a seamless inter-RTO scheduling process.</w:t>
      </w:r>
    </w:p>
    <w:p>
      <w:pPr>
        <w:pStyle w:val="Normal"/>
        <w:autoSpaceDE w:val="false"/>
        <w:spacing w:lineRule="atLeast" w:line="240"/>
        <w:ind w:start="360" w:end="0"/>
        <w:rPr/>
      </w:pPr>
      <w:r>
        <w:rPr/>
      </w:r>
    </w:p>
    <w:p>
      <w:pPr>
        <w:pStyle w:val="Normal"/>
        <w:numPr>
          <w:ilvl w:val="0"/>
          <w:numId w:val="1"/>
        </w:numPr>
        <w:autoSpaceDE w:val="false"/>
        <w:spacing w:lineRule="atLeast" w:line="240"/>
        <w:rPr/>
      </w:pPr>
      <w:r>
        <w:rPr/>
        <w:t xml:space="preserve">The ESC has realized that many aspects of transmission and energy scheduling will be dictated by RTO market structures.  Transmission service models vary significantly from RTO to RTO, ranging from financial models to real-time physical nodal locational pricing models.  </w:t>
      </w:r>
    </w:p>
    <w:p>
      <w:pPr>
        <w:pStyle w:val="Normal"/>
        <w:numPr>
          <w:ilvl w:val="1"/>
          <w:numId w:val="1"/>
        </w:numPr>
        <w:autoSpaceDE w:val="false"/>
        <w:spacing w:lineRule="atLeast" w:line="240"/>
        <w:rPr/>
      </w:pPr>
      <w:r>
        <w:rPr/>
        <w:t xml:space="preserve">These models have different transmission schedule timing requirements, and subsequently, energy market timing differences.  These differences must be reconciled to allow for inter-Regional energy trading.  </w:t>
      </w:r>
    </w:p>
    <w:p>
      <w:pPr>
        <w:pStyle w:val="Normal"/>
        <w:numPr>
          <w:ilvl w:val="1"/>
          <w:numId w:val="1"/>
        </w:numPr>
        <w:autoSpaceDE w:val="false"/>
        <w:spacing w:lineRule="atLeast" w:line="240"/>
        <w:rPr/>
      </w:pPr>
      <w:r>
        <w:rPr/>
        <w:t>A study of the congestion management practices of RTOs shows them to be ineffective at mitigating Inter-RTO congestion and constraints caused by loop-flows.  A lack of consistent methods in congestion management between RTOs could result in traditional physical curtailments of schedules if the market is unable to manage congestion through financial or redispatch means.</w:t>
      </w:r>
    </w:p>
    <w:p>
      <w:pPr>
        <w:pStyle w:val="Normal"/>
        <w:autoSpaceDE w:val="false"/>
        <w:spacing w:lineRule="atLeast" w:line="240"/>
        <w:rPr/>
      </w:pPr>
      <w:r>
        <w:rPr/>
      </w:r>
    </w:p>
    <w:p>
      <w:pPr>
        <w:pStyle w:val="Normal"/>
        <w:numPr>
          <w:ilvl w:val="0"/>
          <w:numId w:val="1"/>
        </w:numPr>
        <w:autoSpaceDE w:val="false"/>
        <w:spacing w:lineRule="atLeast" w:line="240"/>
        <w:rPr/>
      </w:pPr>
      <w:r>
        <w:rPr/>
        <w:t>The adverse impact of these varying approaches is that the “into, out of, and through” marketers will have to understand and be able to coordinate reservations and scheduling of a multitude of RTO practices.  It will be very difficult to trade energy on an Interconnection wide basis if source and sink requirements and scheduling deadlines differ between RTOs. One of the keys to liquidity in the wholesale power market is the ability to create price indices around trading hubs. Inconsistent scheduling requirements and associated congestion management solutions will stifle hub development.</w:t>
      </w:r>
    </w:p>
    <w:p>
      <w:pPr>
        <w:pStyle w:val="Normal"/>
        <w:autoSpaceDE w:val="false"/>
        <w:spacing w:lineRule="atLeast" w:line="240"/>
        <w:rPr/>
      </w:pPr>
      <w:r>
        <w:rPr/>
      </w:r>
    </w:p>
    <w:p>
      <w:pPr>
        <w:pStyle w:val="Normal"/>
        <w:numPr>
          <w:ilvl w:val="0"/>
          <w:numId w:val="1"/>
        </w:numPr>
        <w:autoSpaceDE w:val="false"/>
        <w:spacing w:lineRule="atLeast" w:line="240"/>
        <w:rPr/>
      </w:pPr>
      <w:r>
        <w:rPr/>
        <w:t xml:space="preserve">The best possible solution would be to force every RTO to a common transmission model.  However, this would certainly detract from the creative approach FERC has provided for in RTO Order 2000. </w:t>
      </w:r>
    </w:p>
    <w:p>
      <w:pPr>
        <w:pStyle w:val="Normal"/>
        <w:autoSpaceDE w:val="false"/>
        <w:spacing w:lineRule="atLeast" w:line="240"/>
        <w:rPr/>
      </w:pPr>
      <w:r>
        <w:rPr/>
      </w:r>
    </w:p>
    <w:p>
      <w:pPr>
        <w:pStyle w:val="Normal"/>
        <w:autoSpaceDE w:val="false"/>
        <w:spacing w:lineRule="atLeast" w:line="240"/>
        <w:rPr/>
      </w:pPr>
      <w:r>
        <w:rPr/>
        <w:t>If not that, then what?  The present approach of seams collaboratives has pointed out the pitfalls of the present course.  Given RTOs place primary concern over getting the markets right for their own members; this inherently means that conflict with neighbors is a certainty.  Certain issues such as the differences between congestion rights may never reach a standardized approach without significant changes within RTO market structures under the present “Patch the Seams” Approach.</w:t>
      </w:r>
    </w:p>
    <w:p>
      <w:pPr>
        <w:pStyle w:val="Normal"/>
        <w:autoSpaceDE w:val="false"/>
        <w:spacing w:lineRule="atLeast" w:line="240"/>
        <w:rPr/>
      </w:pPr>
      <w:r>
        <w:rPr/>
      </w:r>
    </w:p>
    <w:p>
      <w:pPr>
        <w:pStyle w:val="Normal"/>
        <w:autoSpaceDE w:val="false"/>
        <w:spacing w:lineRule="atLeast" w:line="240"/>
        <w:ind w:start="360" w:end="0"/>
        <w:rPr/>
      </w:pPr>
      <w:r>
        <w:rPr/>
      </w:r>
    </w:p>
    <w:p>
      <w:pPr>
        <w:pStyle w:val="Normal"/>
        <w:autoSpaceDE w:val="false"/>
        <w:spacing w:lineRule="atLeast" w:line="240"/>
        <w:rPr/>
      </w:pPr>
      <w:r>
        <w:rPr/>
        <w:t xml:space="preserve">Specific Proposal </w:t>
      </w:r>
    </w:p>
    <w:p>
      <w:pPr>
        <w:pStyle w:val="Normal"/>
        <w:autoSpaceDE w:val="false"/>
        <w:spacing w:lineRule="atLeast" w:line="240"/>
        <w:rPr/>
      </w:pPr>
      <w:r>
        <w:rPr/>
      </w:r>
    </w:p>
    <w:p>
      <w:pPr>
        <w:pStyle w:val="Normal"/>
        <w:autoSpaceDE w:val="false"/>
        <w:spacing w:lineRule="atLeast" w:line="240"/>
        <w:rPr/>
      </w:pPr>
      <w:r>
        <w:rPr/>
        <w:t>Don’t Try to Patch the Seams – Build An Inter-RTO Superhighway to Overcome the Seams</w:t>
      </w:r>
    </w:p>
    <w:p>
      <w:pPr>
        <w:pStyle w:val="Normal"/>
        <w:autoSpaceDE w:val="false"/>
        <w:spacing w:lineRule="atLeast" w:line="240"/>
        <w:rPr/>
      </w:pPr>
      <w:r>
        <w:rPr/>
      </w:r>
    </w:p>
    <w:p>
      <w:pPr>
        <w:pStyle w:val="Normal"/>
        <w:numPr>
          <w:ilvl w:val="0"/>
          <w:numId w:val="1"/>
        </w:numPr>
        <w:autoSpaceDE w:val="false"/>
        <w:spacing w:lineRule="atLeast" w:line="240"/>
        <w:rPr/>
      </w:pPr>
      <w:r>
        <w:rPr/>
        <w:t>Provide for the intra-RTO markets to schedule energy onto a “Superhighway”</w:t>
      </w:r>
    </w:p>
    <w:p>
      <w:pPr>
        <w:pStyle w:val="Normal"/>
        <w:numPr>
          <w:ilvl w:val="0"/>
          <w:numId w:val="1"/>
        </w:numPr>
        <w:autoSpaceDE w:val="false"/>
        <w:spacing w:lineRule="atLeast" w:line="240"/>
        <w:rPr/>
      </w:pPr>
      <w:r>
        <w:rPr/>
        <w:t>Provide consistent terms and conditions for scheduling of transmission service for “into, out of, and through” transactions</w:t>
      </w:r>
    </w:p>
    <w:p>
      <w:pPr>
        <w:pStyle w:val="Normal"/>
        <w:numPr>
          <w:ilvl w:val="0"/>
          <w:numId w:val="1"/>
        </w:numPr>
        <w:autoSpaceDE w:val="false"/>
        <w:spacing w:lineRule="atLeast" w:line="240"/>
        <w:rPr/>
      </w:pPr>
      <w:r>
        <w:rPr/>
        <w:t>Electronic Scheduling Software based systems can be built to allow a “One-Stop Shop” to facilitate inter-RTO markets.</w:t>
      </w:r>
    </w:p>
    <w:p>
      <w:pPr>
        <w:pStyle w:val="Normal"/>
        <w:numPr>
          <w:ilvl w:val="1"/>
          <w:numId w:val="1"/>
        </w:numPr>
        <w:autoSpaceDE w:val="false"/>
        <w:spacing w:lineRule="atLeast" w:line="240"/>
        <w:rPr/>
      </w:pPr>
      <w:r>
        <w:rPr/>
        <w:t>RTO systems and tariffs will provide “inputs” into the Superhighway E-Scheduling System of intra-RTO transactions to schedule energy “out of” RTOs.</w:t>
      </w:r>
    </w:p>
    <w:p>
      <w:pPr>
        <w:pStyle w:val="Normal"/>
        <w:numPr>
          <w:ilvl w:val="1"/>
          <w:numId w:val="1"/>
        </w:numPr>
        <w:autoSpaceDE w:val="false"/>
        <w:spacing w:lineRule="atLeast" w:line="240"/>
        <w:rPr/>
      </w:pPr>
      <w:r>
        <w:rPr/>
        <w:t>RTO systems and tariffs will receive schedules from other RTOs that sink “into,” source “out of,” or pass “through” the RTO.</w:t>
      </w:r>
    </w:p>
    <w:p>
      <w:pPr>
        <w:pStyle w:val="Normal"/>
        <w:autoSpaceDE w:val="false"/>
        <w:spacing w:lineRule="atLeast" w:line="240"/>
        <w:rPr/>
      </w:pPr>
      <w:r>
        <w:rPr/>
      </w:r>
    </w:p>
    <w:p>
      <w:pPr>
        <w:pStyle w:val="Normal"/>
        <w:autoSpaceDE w:val="false"/>
        <w:spacing w:lineRule="atLeast" w:line="240"/>
        <w:rPr/>
      </w:pPr>
      <w:r>
        <w:rPr/>
        <w:t>Advantages</w:t>
      </w:r>
    </w:p>
    <w:p>
      <w:pPr>
        <w:pStyle w:val="Normal"/>
        <w:autoSpaceDE w:val="false"/>
        <w:spacing w:lineRule="atLeast" w:line="240"/>
        <w:rPr/>
      </w:pPr>
      <w:r>
        <w:rPr/>
      </w:r>
    </w:p>
    <w:p>
      <w:pPr>
        <w:pStyle w:val="Normal"/>
        <w:numPr>
          <w:ilvl w:val="0"/>
          <w:numId w:val="1"/>
        </w:numPr>
        <w:autoSpaceDE w:val="false"/>
        <w:spacing w:lineRule="atLeast" w:line="240"/>
        <w:rPr/>
      </w:pPr>
      <w:r>
        <w:rPr/>
        <w:t>Allow individual RTO innovation and consensus building to continue</w:t>
      </w:r>
    </w:p>
    <w:p>
      <w:pPr>
        <w:pStyle w:val="Normal"/>
        <w:numPr>
          <w:ilvl w:val="0"/>
          <w:numId w:val="1"/>
        </w:numPr>
        <w:autoSpaceDE w:val="false"/>
        <w:spacing w:lineRule="atLeast" w:line="240"/>
        <w:rPr/>
      </w:pPr>
      <w:r>
        <w:rPr/>
        <w:t>Provide market consistent business practices to the toughest seams issues</w:t>
      </w:r>
    </w:p>
    <w:p>
      <w:pPr>
        <w:pStyle w:val="Normal"/>
        <w:numPr>
          <w:ilvl w:val="1"/>
          <w:numId w:val="1"/>
        </w:numPr>
        <w:autoSpaceDE w:val="false"/>
        <w:spacing w:lineRule="atLeast" w:line="240"/>
        <w:rPr/>
      </w:pPr>
      <w:r>
        <w:rPr/>
        <w:t>ATC coordination</w:t>
      </w:r>
    </w:p>
    <w:p>
      <w:pPr>
        <w:pStyle w:val="Normal"/>
        <w:numPr>
          <w:ilvl w:val="1"/>
          <w:numId w:val="1"/>
        </w:numPr>
        <w:autoSpaceDE w:val="false"/>
        <w:spacing w:lineRule="atLeast" w:line="240"/>
        <w:rPr/>
      </w:pPr>
      <w:r>
        <w:rPr/>
        <w:t>Congestion Management</w:t>
      </w:r>
    </w:p>
    <w:p>
      <w:pPr>
        <w:pStyle w:val="Normal"/>
        <w:numPr>
          <w:ilvl w:val="1"/>
          <w:numId w:val="1"/>
        </w:numPr>
        <w:autoSpaceDE w:val="false"/>
        <w:spacing w:lineRule="atLeast" w:line="240"/>
        <w:rPr/>
      </w:pPr>
      <w:r>
        <w:rPr/>
        <w:t>Scheduling Practices - particularly source and sink data and timing requirements</w:t>
      </w:r>
    </w:p>
    <w:p>
      <w:pPr>
        <w:pStyle w:val="Normal"/>
        <w:numPr>
          <w:ilvl w:val="0"/>
          <w:numId w:val="1"/>
        </w:numPr>
        <w:autoSpaceDE w:val="false"/>
        <w:spacing w:lineRule="atLeast" w:line="240"/>
        <w:rPr/>
      </w:pPr>
      <w:r>
        <w:rPr/>
        <w:t xml:space="preserve">Accommodates the different stages of RTO implementation </w:t>
      </w:r>
    </w:p>
    <w:p>
      <w:pPr>
        <w:pStyle w:val="Normal"/>
        <w:autoSpaceDE w:val="false"/>
        <w:spacing w:lineRule="atLeast" w:line="240"/>
        <w:ind w:start="360" w:end="0"/>
        <w:rPr/>
      </w:pPr>
      <w:r>
        <w:rPr/>
      </w:r>
    </w:p>
    <w:p>
      <w:pPr>
        <w:pStyle w:val="Normal"/>
        <w:autoSpaceDE w:val="false"/>
        <w:spacing w:lineRule="atLeast" w:line="240"/>
        <w:rPr/>
      </w:pPr>
      <w:r>
        <w:rPr/>
        <w:t>What is needed from FERC</w:t>
      </w:r>
    </w:p>
    <w:p>
      <w:pPr>
        <w:pStyle w:val="Normal"/>
        <w:numPr>
          <w:ilvl w:val="0"/>
          <w:numId w:val="1"/>
        </w:numPr>
        <w:autoSpaceDE w:val="false"/>
        <w:spacing w:lineRule="atLeast" w:line="240"/>
        <w:rPr/>
      </w:pPr>
      <w:r>
        <w:rPr/>
        <w:t>A single tariff to establish consistent terms and conditions</w:t>
      </w:r>
    </w:p>
    <w:p>
      <w:pPr>
        <w:pStyle w:val="Normal"/>
        <w:numPr>
          <w:ilvl w:val="0"/>
          <w:numId w:val="1"/>
        </w:numPr>
        <w:autoSpaceDE w:val="false"/>
        <w:spacing w:lineRule="atLeast" w:line="240"/>
        <w:rPr/>
      </w:pPr>
      <w:r>
        <w:rPr/>
        <w:t>Diligence in reviewing individual RTO proposals for a commitment to “adapt” to the Superhighway</w:t>
      </w:r>
    </w:p>
    <w:p>
      <w:pPr>
        <w:pStyle w:val="Normal"/>
        <w:autoSpaceDE w:val="false"/>
        <w:spacing w:lineRule="atLeast" w:line="240"/>
        <w:rPr/>
      </w:pPr>
      <w:r>
        <w:rPr/>
      </w:r>
    </w:p>
    <w:p>
      <w:pPr>
        <w:pStyle w:val="Normal"/>
        <w:autoSpaceDE w:val="false"/>
        <w:spacing w:lineRule="atLeast" w:line="240"/>
        <w:rPr/>
      </w:pPr>
      <w:r>
        <w:rPr/>
        <w:t>What is needed from RTOs</w:t>
      </w:r>
    </w:p>
    <w:p>
      <w:pPr>
        <w:pStyle w:val="Normal"/>
        <w:numPr>
          <w:ilvl w:val="0"/>
          <w:numId w:val="1"/>
        </w:numPr>
        <w:autoSpaceDE w:val="false"/>
        <w:spacing w:lineRule="atLeast" w:line="240"/>
        <w:rPr/>
      </w:pPr>
      <w:r>
        <w:rPr/>
        <w:t>Through collaboratives such as the Electronic Scheduling Collaborative, standardized Business Practices to implement the tariff provisions</w:t>
      </w:r>
    </w:p>
    <w:p>
      <w:pPr>
        <w:pStyle w:val="Normal"/>
        <w:autoSpaceDE w:val="false"/>
        <w:spacing w:lineRule="atLeast" w:line="240"/>
        <w:rPr/>
      </w:pPr>
      <w:r>
        <w:rPr/>
      </w:r>
    </w:p>
    <w:p>
      <w:pPr>
        <w:pStyle w:val="Normal"/>
        <w:autoSpaceDE w:val="false"/>
        <w:spacing w:lineRule="atLeast" w:line="240"/>
        <w:rPr/>
      </w:pPr>
      <w:r>
        <w:rPr/>
        <w:t>What is needed from Industry</w:t>
      </w:r>
    </w:p>
    <w:p>
      <w:pPr>
        <w:pStyle w:val="Normal"/>
        <w:numPr>
          <w:ilvl w:val="0"/>
          <w:numId w:val="1"/>
        </w:numPr>
        <w:autoSpaceDE w:val="false"/>
        <w:spacing w:lineRule="atLeast" w:line="240"/>
        <w:rPr/>
      </w:pPr>
      <w:r>
        <w:rPr/>
        <w:t>Vendor software</w:t>
      </w:r>
    </w:p>
    <w:p>
      <w:pPr>
        <w:pStyle w:val="Normal"/>
        <w:numPr>
          <w:ilvl w:val="0"/>
          <w:numId w:val="1"/>
        </w:numPr>
        <w:autoSpaceDE w:val="false"/>
        <w:spacing w:lineRule="atLeast" w:line="240"/>
        <w:rPr/>
      </w:pPr>
      <w:r>
        <w:rPr/>
        <w:t>True Collaboration</w:t>
      </w:r>
    </w:p>
    <w:p>
      <w:pPr>
        <w:pStyle w:val="Normal"/>
        <w:numPr>
          <w:ilvl w:val="1"/>
          <w:numId w:val="1"/>
        </w:numPr>
        <w:autoSpaceDE w:val="false"/>
        <w:spacing w:lineRule="atLeast" w:line="240"/>
        <w:rPr/>
      </w:pPr>
      <w:r>
        <w:rPr/>
        <w:t>Individual RTOs can continue to shape their internal structures – but now must provide the appropriate interfaces to the Inter-RTO system</w:t>
      </w:r>
    </w:p>
    <w:p>
      <w:pPr>
        <w:pStyle w:val="Normal"/>
        <w:autoSpaceDE w:val="false"/>
        <w:spacing w:lineRule="atLeast" w:line="240"/>
        <w:rPr/>
      </w:pPr>
      <w:r>
        <w:rPr/>
      </w:r>
    </w:p>
    <w:p>
      <w:pPr>
        <w:pStyle w:val="Normal"/>
        <w:autoSpaceDE w:val="false"/>
        <w:spacing w:lineRule="atLeast" w:line="240"/>
        <w:rPr/>
      </w:pPr>
      <w:r>
        <w:rPr/>
        <w:t>Enron has prepared a handout for the Commission, which outlines the architectural structure of such an Inter-RTO Superhighway.</w:t>
      </w:r>
    </w:p>
    <w:p>
      <w:pPr>
        <w:pStyle w:val="Normal"/>
        <w:autoSpaceDE w:val="false"/>
        <w:spacing w:lineRule="atLeast" w:line="24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720"/>
        </w:tabs>
        <w:ind w:start="720" w:hanging="360"/>
      </w:pPr>
      <w:rPr>
        <w:rFonts w:ascii="Times New Roman" w:hAnsi="Times New Roman" w:cs="Times New Roman"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2001-06-14T13:20:00Z</dcterms:created>
  <dc:creator>cyeung</dc:creator>
  <dc:description/>
  <dc:language>en-CA</dc:language>
  <cp:lastModifiedBy>cyeung</cp:lastModifiedBy>
  <dcterms:modified xsi:type="dcterms:W3CDTF">2001-06-14T13:20:00Z</dcterms:modified>
  <cp:revision>2</cp:revision>
  <dc:subject/>
  <dc:title>ENRON Power Marketing Inc Comments for the</dc:title>
</cp:coreProperties>
</file>